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docProps/core.xml" ContentType="application/vnd.openxmlformats-package.core-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1D" w:rsidRPr="00DC56C1" w:rsidRDefault="002D221D" w:rsidP="002D221D">
      <w:pPr>
        <w:tabs>
          <w:tab w:val="right" w:leader="dot" w:pos="10060"/>
        </w:tabs>
        <w:rPr>
          <w:rFonts w:ascii="Times New Roman" w:hAnsi="Times New Roman"/>
          <w:sz w:val="22"/>
          <w:szCs w:val="22"/>
        </w:rPr>
      </w:pPr>
    </w:p>
    <w:p w:rsidR="002D221D" w:rsidRPr="00DC56C1" w:rsidRDefault="002D221D" w:rsidP="002D221D">
      <w:pPr>
        <w:tabs>
          <w:tab w:val="right" w:leader="dot" w:pos="10060"/>
        </w:tabs>
        <w:rPr>
          <w:rFonts w:ascii="Times New Roman" w:hAnsi="Times New Roman"/>
          <w:sz w:val="22"/>
          <w:szCs w:val="22"/>
        </w:rPr>
      </w:pPr>
    </w:p>
    <w:p w:rsidR="002D221D" w:rsidRPr="00DC56C1" w:rsidRDefault="002D221D" w:rsidP="002D221D">
      <w:pPr>
        <w:tabs>
          <w:tab w:val="left" w:pos="4125"/>
          <w:tab w:val="right" w:leader="dot" w:pos="10060"/>
        </w:tabs>
        <w:rPr>
          <w:rFonts w:ascii="Times New Roman" w:hAnsi="Times New Roman"/>
          <w:sz w:val="22"/>
          <w:szCs w:val="22"/>
        </w:rPr>
      </w:pPr>
      <w:r w:rsidRPr="00DC56C1">
        <w:rPr>
          <w:rFonts w:ascii="Times New Roman" w:hAnsi="Times New Roman"/>
          <w:sz w:val="22"/>
          <w:szCs w:val="22"/>
        </w:rPr>
        <w:tab/>
      </w:r>
    </w:p>
    <w:p w:rsidR="002D221D" w:rsidRPr="00DC56C1" w:rsidRDefault="002D221D" w:rsidP="002D221D">
      <w:pPr>
        <w:tabs>
          <w:tab w:val="left" w:pos="4125"/>
          <w:tab w:val="right" w:leader="dot" w:pos="10060"/>
        </w:tabs>
        <w:rPr>
          <w:rFonts w:ascii="Times New Roman" w:hAnsi="Times New Roman"/>
          <w:sz w:val="22"/>
          <w:szCs w:val="22"/>
        </w:rPr>
      </w:pPr>
    </w:p>
    <w:p w:rsidR="002D221D" w:rsidRPr="00DC56C1" w:rsidRDefault="002D221D" w:rsidP="002D221D">
      <w:pPr>
        <w:tabs>
          <w:tab w:val="left" w:pos="4125"/>
          <w:tab w:val="right" w:leader="dot" w:pos="10060"/>
        </w:tabs>
        <w:rPr>
          <w:rFonts w:ascii="Times New Roman" w:hAnsi="Times New Roman"/>
          <w:sz w:val="22"/>
          <w:szCs w:val="22"/>
        </w:rPr>
      </w:pPr>
    </w:p>
    <w:p w:rsidR="002D221D" w:rsidRPr="00DC56C1" w:rsidRDefault="002D221D" w:rsidP="002D221D">
      <w:pPr>
        <w:tabs>
          <w:tab w:val="left" w:pos="4125"/>
          <w:tab w:val="right" w:leader="dot" w:pos="10060"/>
        </w:tabs>
        <w:rPr>
          <w:rFonts w:ascii="Times New Roman" w:hAnsi="Times New Roman"/>
          <w:sz w:val="22"/>
          <w:szCs w:val="22"/>
        </w:rPr>
      </w:pPr>
    </w:p>
    <w:p w:rsidR="002D221D" w:rsidRPr="00DC56C1" w:rsidRDefault="002D221D" w:rsidP="002D221D">
      <w:pPr>
        <w:tabs>
          <w:tab w:val="left" w:pos="4125"/>
          <w:tab w:val="right" w:leader="dot" w:pos="10060"/>
        </w:tabs>
        <w:rPr>
          <w:rFonts w:ascii="Times New Roman" w:hAnsi="Times New Roman"/>
          <w:sz w:val="22"/>
          <w:szCs w:val="22"/>
        </w:rPr>
      </w:pPr>
    </w:p>
    <w:p w:rsidR="002D221D" w:rsidRPr="00DC56C1" w:rsidRDefault="002D221D" w:rsidP="00110123">
      <w:pPr>
        <w:pStyle w:val="StyleHeading128ptCustomColorRGB2099038"/>
        <w:rPr>
          <w:rFonts w:ascii="Times New Roman" w:hAnsi="Times New Roman"/>
          <w:sz w:val="22"/>
          <w:szCs w:val="22"/>
        </w:rPr>
      </w:pPr>
    </w:p>
    <w:p w:rsidR="002D221D" w:rsidRPr="00DC56C1" w:rsidRDefault="002D221D" w:rsidP="00110123">
      <w:pPr>
        <w:pStyle w:val="StyleHeading128ptCustomColorRGB2099038"/>
        <w:rPr>
          <w:rFonts w:ascii="Times New Roman" w:hAnsi="Times New Roman"/>
          <w:sz w:val="22"/>
          <w:szCs w:val="22"/>
        </w:rPr>
      </w:pPr>
    </w:p>
    <w:p w:rsidR="002D221D" w:rsidRPr="00DC56C1" w:rsidRDefault="002D221D" w:rsidP="00110123">
      <w:pPr>
        <w:pStyle w:val="StyleHeading128ptCustomColorRGB2099038"/>
        <w:rPr>
          <w:rFonts w:ascii="Times New Roman" w:hAnsi="Times New Roman"/>
          <w:sz w:val="22"/>
          <w:szCs w:val="22"/>
        </w:rPr>
      </w:pPr>
    </w:p>
    <w:p w:rsidR="00AC518C" w:rsidRPr="00DC56C1" w:rsidRDefault="00C03921" w:rsidP="00C03921">
      <w:pPr>
        <w:pStyle w:val="StyleHeading128ptCustomColorRGB2099038"/>
        <w:rPr>
          <w:rFonts w:ascii="Times New Roman" w:hAnsi="Times New Roman"/>
          <w:sz w:val="22"/>
          <w:szCs w:val="22"/>
        </w:rPr>
      </w:pPr>
      <w:r w:rsidRPr="00DC56C1">
        <w:rPr>
          <w:rFonts w:ascii="Times New Roman" w:hAnsi="Times New Roman"/>
          <w:sz w:val="22"/>
          <w:szCs w:val="22"/>
        </w:rPr>
        <w:t>Support to strenghtening the rule of law and access to justice in libya during the transition to democracy</w:t>
      </w:r>
    </w:p>
    <w:p w:rsidR="00AC518C" w:rsidRPr="00DC56C1" w:rsidRDefault="00AC518C" w:rsidP="00127E08">
      <w:pPr>
        <w:rPr>
          <w:rFonts w:ascii="Times New Roman" w:hAnsi="Times New Roman"/>
          <w:sz w:val="22"/>
          <w:szCs w:val="22"/>
        </w:rPr>
      </w:pPr>
    </w:p>
    <w:p w:rsidR="002D6CB7" w:rsidRPr="00DC56C1" w:rsidRDefault="002D6CB7" w:rsidP="00127E08">
      <w:pPr>
        <w:rPr>
          <w:rFonts w:ascii="Times New Roman" w:hAnsi="Times New Roman"/>
          <w:sz w:val="22"/>
          <w:szCs w:val="22"/>
        </w:rPr>
      </w:pPr>
    </w:p>
    <w:p w:rsidR="002D221D" w:rsidRPr="00DC56C1" w:rsidRDefault="002D221D" w:rsidP="00127E08">
      <w:pPr>
        <w:rPr>
          <w:rFonts w:ascii="Times New Roman" w:hAnsi="Times New Roman"/>
          <w:sz w:val="22"/>
          <w:szCs w:val="22"/>
        </w:rPr>
      </w:pPr>
    </w:p>
    <w:p w:rsidR="00AC518C" w:rsidRPr="00DC56C1" w:rsidRDefault="00C03921" w:rsidP="00C03921">
      <w:pPr>
        <w:pStyle w:val="Heading3"/>
        <w:jc w:val="right"/>
        <w:rPr>
          <w:rFonts w:ascii="Times New Roman" w:hAnsi="Times New Roman"/>
          <w:szCs w:val="22"/>
        </w:rPr>
      </w:pPr>
      <w:r w:rsidRPr="00DC56C1">
        <w:rPr>
          <w:rFonts w:ascii="Times New Roman" w:hAnsi="Times New Roman"/>
          <w:szCs w:val="22"/>
        </w:rPr>
        <w:t>March 2013</w:t>
      </w:r>
      <w:r w:rsidR="0095609D" w:rsidRPr="00DC56C1">
        <w:rPr>
          <w:rFonts w:ascii="Times New Roman" w:hAnsi="Times New Roman"/>
          <w:szCs w:val="22"/>
        </w:rPr>
        <w:t xml:space="preserve"> </w:t>
      </w:r>
    </w:p>
    <w:p w:rsidR="00AC518C" w:rsidRPr="00DC56C1" w:rsidRDefault="00AC518C" w:rsidP="00E5005F">
      <w:pPr>
        <w:rPr>
          <w:rFonts w:ascii="Times New Roman" w:hAnsi="Times New Roman"/>
          <w:sz w:val="22"/>
          <w:szCs w:val="22"/>
        </w:rPr>
      </w:pPr>
    </w:p>
    <w:p w:rsidR="00AC518C" w:rsidRPr="00DC56C1" w:rsidRDefault="00AC518C" w:rsidP="00E5005F">
      <w:pPr>
        <w:rPr>
          <w:rFonts w:ascii="Times New Roman" w:hAnsi="Times New Roman"/>
          <w:sz w:val="22"/>
          <w:szCs w:val="22"/>
        </w:rPr>
      </w:pPr>
    </w:p>
    <w:p w:rsidR="00AC518C" w:rsidRPr="00DC56C1" w:rsidRDefault="00AC518C" w:rsidP="00E5005F">
      <w:pPr>
        <w:rPr>
          <w:rFonts w:ascii="Times New Roman" w:hAnsi="Times New Roman"/>
          <w:sz w:val="22"/>
          <w:szCs w:val="22"/>
        </w:rPr>
      </w:pPr>
    </w:p>
    <w:p w:rsidR="00CB007E" w:rsidRPr="00DC56C1" w:rsidRDefault="00CB007E">
      <w:pPr>
        <w:rPr>
          <w:rFonts w:ascii="Times New Roman" w:hAnsi="Times New Roman"/>
          <w:sz w:val="22"/>
          <w:szCs w:val="22"/>
        </w:rPr>
      </w:pPr>
      <w:r w:rsidRPr="00DC56C1">
        <w:rPr>
          <w:rFonts w:ascii="Times New Roman" w:hAnsi="Times New Roman"/>
          <w:sz w:val="22"/>
          <w:szCs w:val="22"/>
        </w:rPr>
        <w:br w:type="page"/>
      </w:r>
    </w:p>
    <w:p w:rsidR="004E5E25" w:rsidRPr="00DC56C1" w:rsidRDefault="004E5E25" w:rsidP="00E5005F">
      <w:pPr>
        <w:rPr>
          <w:rFonts w:ascii="Times New Roman" w:hAnsi="Times New Roman"/>
          <w:sz w:val="22"/>
          <w:szCs w:val="22"/>
        </w:rPr>
      </w:pPr>
    </w:p>
    <w:p w:rsidR="004E5E25" w:rsidRPr="00DC56C1" w:rsidRDefault="004E5E25" w:rsidP="004E5E25">
      <w:pPr>
        <w:pStyle w:val="Heading1"/>
        <w:shd w:val="clear" w:color="auto" w:fill="FFC000"/>
        <w:jc w:val="left"/>
        <w:rPr>
          <w:rFonts w:ascii="Times New Roman" w:hAnsi="Times New Roman"/>
          <w:color w:val="FFFFFF"/>
          <w:sz w:val="22"/>
          <w:szCs w:val="22"/>
        </w:rPr>
      </w:pPr>
      <w:r w:rsidRPr="00DC56C1">
        <w:rPr>
          <w:rFonts w:ascii="Times New Roman" w:hAnsi="Times New Roman"/>
          <w:color w:val="FFFFFF"/>
          <w:sz w:val="22"/>
          <w:szCs w:val="22"/>
        </w:rPr>
        <w:t>TABLE OF Contents</w:t>
      </w:r>
    </w:p>
    <w:p w:rsidR="00AC518C" w:rsidRPr="00DC56C1" w:rsidRDefault="00AC518C" w:rsidP="00E5005F">
      <w:pPr>
        <w:rPr>
          <w:rFonts w:ascii="Times New Roman" w:hAnsi="Times New Roman"/>
          <w:sz w:val="22"/>
          <w:szCs w:val="22"/>
        </w:rPr>
      </w:pPr>
    </w:p>
    <w:p w:rsidR="00AC518C" w:rsidRPr="00DC56C1" w:rsidRDefault="00AC518C" w:rsidP="00A653ED">
      <w:pPr>
        <w:pStyle w:val="ListofContents"/>
        <w:rPr>
          <w:rFonts w:ascii="Times New Roman" w:hAnsi="Times New Roman"/>
          <w:sz w:val="22"/>
          <w:szCs w:val="22"/>
        </w:rPr>
      </w:pPr>
      <w:r w:rsidRPr="00DC56C1">
        <w:rPr>
          <w:rFonts w:ascii="Times New Roman" w:hAnsi="Times New Roman"/>
          <w:sz w:val="22"/>
          <w:szCs w:val="22"/>
        </w:rPr>
        <w:t xml:space="preserve">Title </w:t>
      </w:r>
      <w:r w:rsidRPr="00DC56C1">
        <w:rPr>
          <w:rFonts w:ascii="Times New Roman" w:hAnsi="Times New Roman"/>
          <w:sz w:val="22"/>
          <w:szCs w:val="22"/>
        </w:rPr>
        <w:tab/>
        <w:t>01</w:t>
      </w:r>
    </w:p>
    <w:p w:rsidR="00AC518C" w:rsidRPr="00DC56C1" w:rsidRDefault="00AC518C" w:rsidP="00A653ED">
      <w:pPr>
        <w:pStyle w:val="ListofContents"/>
        <w:rPr>
          <w:rFonts w:ascii="Times New Roman" w:hAnsi="Times New Roman"/>
          <w:sz w:val="22"/>
          <w:szCs w:val="22"/>
        </w:rPr>
      </w:pPr>
    </w:p>
    <w:p w:rsidR="00AC518C" w:rsidRPr="00DC56C1" w:rsidRDefault="00AC518C" w:rsidP="00A653ED">
      <w:pPr>
        <w:pStyle w:val="ListofContents"/>
        <w:rPr>
          <w:rFonts w:ascii="Times New Roman" w:hAnsi="Times New Roman"/>
          <w:sz w:val="22"/>
          <w:szCs w:val="22"/>
        </w:rPr>
      </w:pPr>
      <w:r w:rsidRPr="00DC56C1">
        <w:rPr>
          <w:rFonts w:ascii="Times New Roman" w:hAnsi="Times New Roman"/>
          <w:sz w:val="22"/>
          <w:szCs w:val="22"/>
        </w:rPr>
        <w:t xml:space="preserve">Title </w:t>
      </w:r>
      <w:r w:rsidRPr="00DC56C1">
        <w:rPr>
          <w:rFonts w:ascii="Times New Roman" w:hAnsi="Times New Roman"/>
          <w:sz w:val="22"/>
          <w:szCs w:val="22"/>
        </w:rPr>
        <w:tab/>
        <w:t>01</w:t>
      </w:r>
    </w:p>
    <w:p w:rsidR="00AC518C" w:rsidRPr="00DC56C1" w:rsidRDefault="00AC518C" w:rsidP="00A653ED">
      <w:pPr>
        <w:pStyle w:val="ListofContents"/>
        <w:rPr>
          <w:rFonts w:ascii="Times New Roman" w:hAnsi="Times New Roman"/>
          <w:sz w:val="22"/>
          <w:szCs w:val="22"/>
        </w:rPr>
      </w:pPr>
    </w:p>
    <w:p w:rsidR="00AC518C" w:rsidRPr="00DC56C1" w:rsidRDefault="00AC518C" w:rsidP="00A653ED">
      <w:pPr>
        <w:pStyle w:val="ListofContents"/>
        <w:rPr>
          <w:rFonts w:ascii="Times New Roman" w:hAnsi="Times New Roman"/>
          <w:sz w:val="22"/>
          <w:szCs w:val="22"/>
        </w:rPr>
      </w:pPr>
      <w:r w:rsidRPr="00DC56C1">
        <w:rPr>
          <w:rFonts w:ascii="Times New Roman" w:hAnsi="Times New Roman"/>
          <w:sz w:val="22"/>
          <w:szCs w:val="22"/>
        </w:rPr>
        <w:t xml:space="preserve">Title </w:t>
      </w:r>
      <w:r w:rsidRPr="00DC56C1">
        <w:rPr>
          <w:rFonts w:ascii="Times New Roman" w:hAnsi="Times New Roman"/>
          <w:sz w:val="22"/>
          <w:szCs w:val="22"/>
        </w:rPr>
        <w:tab/>
        <w:t>01</w:t>
      </w:r>
    </w:p>
    <w:p w:rsidR="00AC518C" w:rsidRPr="00DC56C1" w:rsidRDefault="00AC518C" w:rsidP="00A653ED">
      <w:pPr>
        <w:pStyle w:val="ListofContents"/>
        <w:rPr>
          <w:rFonts w:ascii="Times New Roman" w:hAnsi="Times New Roman"/>
          <w:sz w:val="22"/>
          <w:szCs w:val="22"/>
        </w:rPr>
      </w:pPr>
    </w:p>
    <w:p w:rsidR="00AC518C" w:rsidRPr="00DC56C1" w:rsidRDefault="00AC518C" w:rsidP="00A653ED">
      <w:pPr>
        <w:pStyle w:val="ListofContents"/>
        <w:rPr>
          <w:rFonts w:ascii="Times New Roman" w:hAnsi="Times New Roman"/>
          <w:sz w:val="22"/>
          <w:szCs w:val="22"/>
        </w:rPr>
      </w:pPr>
      <w:r w:rsidRPr="00DC56C1">
        <w:rPr>
          <w:rFonts w:ascii="Times New Roman" w:hAnsi="Times New Roman"/>
          <w:sz w:val="22"/>
          <w:szCs w:val="22"/>
        </w:rPr>
        <w:t xml:space="preserve">Title </w:t>
      </w:r>
      <w:r w:rsidRPr="00DC56C1">
        <w:rPr>
          <w:rFonts w:ascii="Times New Roman" w:hAnsi="Times New Roman"/>
          <w:sz w:val="22"/>
          <w:szCs w:val="22"/>
        </w:rPr>
        <w:tab/>
        <w:t>01</w:t>
      </w:r>
    </w:p>
    <w:p w:rsidR="00AC518C" w:rsidRPr="00DC56C1" w:rsidRDefault="00AC518C" w:rsidP="00A653ED">
      <w:pPr>
        <w:pStyle w:val="ListofContents"/>
        <w:rPr>
          <w:rFonts w:ascii="Times New Roman" w:hAnsi="Times New Roman"/>
          <w:sz w:val="22"/>
          <w:szCs w:val="22"/>
        </w:rPr>
      </w:pPr>
    </w:p>
    <w:p w:rsidR="00AC518C" w:rsidRPr="00DC56C1" w:rsidRDefault="00AC518C" w:rsidP="00A653ED">
      <w:pPr>
        <w:pStyle w:val="ListofContents"/>
        <w:rPr>
          <w:rFonts w:ascii="Times New Roman" w:hAnsi="Times New Roman"/>
          <w:sz w:val="22"/>
          <w:szCs w:val="22"/>
        </w:rPr>
      </w:pPr>
      <w:r w:rsidRPr="00DC56C1">
        <w:rPr>
          <w:rFonts w:ascii="Times New Roman" w:hAnsi="Times New Roman"/>
          <w:sz w:val="22"/>
          <w:szCs w:val="22"/>
        </w:rPr>
        <w:t xml:space="preserve">Title </w:t>
      </w:r>
      <w:r w:rsidRPr="00DC56C1">
        <w:rPr>
          <w:rFonts w:ascii="Times New Roman" w:hAnsi="Times New Roman"/>
          <w:sz w:val="22"/>
          <w:szCs w:val="22"/>
        </w:rPr>
        <w:tab/>
        <w:t>01</w:t>
      </w:r>
    </w:p>
    <w:p w:rsidR="00AC518C" w:rsidRPr="00DC56C1" w:rsidRDefault="00AC518C" w:rsidP="00A653ED">
      <w:pPr>
        <w:pStyle w:val="ListofContents"/>
        <w:rPr>
          <w:rFonts w:ascii="Times New Roman" w:hAnsi="Times New Roman"/>
          <w:sz w:val="22"/>
          <w:szCs w:val="22"/>
        </w:rPr>
      </w:pPr>
    </w:p>
    <w:p w:rsidR="00AC518C" w:rsidRPr="00DC56C1" w:rsidRDefault="00AC518C" w:rsidP="00A653ED">
      <w:pPr>
        <w:pStyle w:val="ListofContents"/>
        <w:rPr>
          <w:rFonts w:ascii="Times New Roman" w:hAnsi="Times New Roman"/>
          <w:sz w:val="22"/>
          <w:szCs w:val="22"/>
        </w:rPr>
      </w:pPr>
      <w:r w:rsidRPr="00DC56C1">
        <w:rPr>
          <w:rFonts w:ascii="Times New Roman" w:hAnsi="Times New Roman"/>
          <w:sz w:val="22"/>
          <w:szCs w:val="22"/>
        </w:rPr>
        <w:t xml:space="preserve">Title </w:t>
      </w:r>
      <w:r w:rsidRPr="00DC56C1">
        <w:rPr>
          <w:rFonts w:ascii="Times New Roman" w:hAnsi="Times New Roman"/>
          <w:sz w:val="22"/>
          <w:szCs w:val="22"/>
        </w:rPr>
        <w:tab/>
        <w:t>01</w:t>
      </w:r>
    </w:p>
    <w:p w:rsidR="00AC518C" w:rsidRPr="00DC56C1" w:rsidRDefault="00AC518C" w:rsidP="00A653ED">
      <w:pPr>
        <w:pStyle w:val="ListofContents"/>
        <w:rPr>
          <w:rFonts w:ascii="Times New Roman" w:hAnsi="Times New Roman"/>
          <w:sz w:val="22"/>
          <w:szCs w:val="22"/>
        </w:rPr>
      </w:pPr>
    </w:p>
    <w:p w:rsidR="00AC518C" w:rsidRPr="00DC56C1" w:rsidRDefault="00AC518C" w:rsidP="00A653ED">
      <w:pPr>
        <w:pStyle w:val="ListofContents"/>
        <w:rPr>
          <w:rFonts w:ascii="Times New Roman" w:hAnsi="Times New Roman"/>
          <w:sz w:val="22"/>
          <w:szCs w:val="22"/>
        </w:rPr>
      </w:pPr>
      <w:r w:rsidRPr="00DC56C1">
        <w:rPr>
          <w:rFonts w:ascii="Times New Roman" w:hAnsi="Times New Roman"/>
          <w:sz w:val="22"/>
          <w:szCs w:val="22"/>
        </w:rPr>
        <w:t xml:space="preserve">Title </w:t>
      </w:r>
      <w:r w:rsidRPr="00DC56C1">
        <w:rPr>
          <w:rFonts w:ascii="Times New Roman" w:hAnsi="Times New Roman"/>
          <w:sz w:val="22"/>
          <w:szCs w:val="22"/>
        </w:rPr>
        <w:tab/>
        <w:t>01</w:t>
      </w:r>
    </w:p>
    <w:p w:rsidR="00AC518C" w:rsidRPr="00DC56C1" w:rsidRDefault="00AC518C" w:rsidP="00A653ED">
      <w:pPr>
        <w:pStyle w:val="ListofContents"/>
        <w:rPr>
          <w:rFonts w:ascii="Times New Roman" w:hAnsi="Times New Roman"/>
          <w:sz w:val="22"/>
          <w:szCs w:val="22"/>
        </w:rPr>
      </w:pPr>
    </w:p>
    <w:p w:rsidR="00AC518C" w:rsidRPr="00DC56C1" w:rsidRDefault="00AC518C" w:rsidP="00A653ED">
      <w:pPr>
        <w:pStyle w:val="ListofContents"/>
        <w:rPr>
          <w:rFonts w:ascii="Times New Roman" w:hAnsi="Times New Roman"/>
          <w:sz w:val="22"/>
          <w:szCs w:val="22"/>
        </w:rPr>
      </w:pPr>
      <w:r w:rsidRPr="00DC56C1">
        <w:rPr>
          <w:rFonts w:ascii="Times New Roman" w:hAnsi="Times New Roman"/>
          <w:sz w:val="22"/>
          <w:szCs w:val="22"/>
        </w:rPr>
        <w:t xml:space="preserve">Title </w:t>
      </w:r>
      <w:r w:rsidRPr="00DC56C1">
        <w:rPr>
          <w:rFonts w:ascii="Times New Roman" w:hAnsi="Times New Roman"/>
          <w:sz w:val="22"/>
          <w:szCs w:val="22"/>
        </w:rPr>
        <w:tab/>
        <w:t>01</w:t>
      </w:r>
    </w:p>
    <w:p w:rsidR="00AC518C" w:rsidRPr="00DC56C1" w:rsidRDefault="00AC518C" w:rsidP="00A653ED">
      <w:pPr>
        <w:pStyle w:val="ListofContents"/>
        <w:rPr>
          <w:rFonts w:ascii="Times New Roman" w:hAnsi="Times New Roman"/>
          <w:sz w:val="22"/>
          <w:szCs w:val="22"/>
        </w:rPr>
      </w:pPr>
    </w:p>
    <w:p w:rsidR="00AC518C" w:rsidRPr="00DC56C1" w:rsidRDefault="00AC518C" w:rsidP="00A653ED">
      <w:pPr>
        <w:pStyle w:val="ListofContents"/>
        <w:rPr>
          <w:rFonts w:ascii="Times New Roman" w:hAnsi="Times New Roman"/>
          <w:sz w:val="22"/>
          <w:szCs w:val="22"/>
        </w:rPr>
      </w:pPr>
      <w:r w:rsidRPr="00DC56C1">
        <w:rPr>
          <w:rFonts w:ascii="Times New Roman" w:hAnsi="Times New Roman"/>
          <w:sz w:val="22"/>
          <w:szCs w:val="22"/>
        </w:rPr>
        <w:t xml:space="preserve">Title </w:t>
      </w:r>
      <w:r w:rsidRPr="00DC56C1">
        <w:rPr>
          <w:rFonts w:ascii="Times New Roman" w:hAnsi="Times New Roman"/>
          <w:sz w:val="22"/>
          <w:szCs w:val="22"/>
        </w:rPr>
        <w:tab/>
        <w:t>01</w:t>
      </w:r>
    </w:p>
    <w:p w:rsidR="00AC518C" w:rsidRPr="00DC56C1" w:rsidRDefault="00AC518C" w:rsidP="00A653ED">
      <w:pPr>
        <w:pStyle w:val="ListofContents"/>
        <w:rPr>
          <w:rFonts w:ascii="Times New Roman" w:hAnsi="Times New Roman"/>
          <w:sz w:val="22"/>
          <w:szCs w:val="22"/>
        </w:rPr>
      </w:pPr>
    </w:p>
    <w:p w:rsidR="00AC518C" w:rsidRPr="00DC56C1" w:rsidRDefault="00AC518C" w:rsidP="00A653ED">
      <w:pPr>
        <w:pStyle w:val="ListofContents"/>
        <w:rPr>
          <w:rFonts w:ascii="Times New Roman" w:hAnsi="Times New Roman"/>
          <w:sz w:val="22"/>
          <w:szCs w:val="22"/>
        </w:rPr>
      </w:pPr>
      <w:r w:rsidRPr="00DC56C1">
        <w:rPr>
          <w:rFonts w:ascii="Times New Roman" w:hAnsi="Times New Roman"/>
          <w:sz w:val="22"/>
          <w:szCs w:val="22"/>
        </w:rPr>
        <w:t xml:space="preserve">Title </w:t>
      </w:r>
      <w:r w:rsidRPr="00DC56C1">
        <w:rPr>
          <w:rFonts w:ascii="Times New Roman" w:hAnsi="Times New Roman"/>
          <w:sz w:val="22"/>
          <w:szCs w:val="22"/>
        </w:rPr>
        <w:tab/>
        <w:t>01</w:t>
      </w:r>
    </w:p>
    <w:p w:rsidR="00AC518C" w:rsidRPr="00DC56C1" w:rsidRDefault="00AC518C" w:rsidP="00110123">
      <w:pPr>
        <w:pStyle w:val="BodyCopy"/>
        <w:rPr>
          <w:rFonts w:ascii="Times New Roman" w:hAnsi="Times New Roman"/>
          <w:sz w:val="22"/>
          <w:szCs w:val="22"/>
        </w:rPr>
      </w:pPr>
    </w:p>
    <w:p w:rsidR="00AC518C" w:rsidRPr="00DC56C1" w:rsidRDefault="00AC518C" w:rsidP="00110123">
      <w:pPr>
        <w:pStyle w:val="BodyCopy"/>
        <w:rPr>
          <w:rFonts w:ascii="Times New Roman" w:hAnsi="Times New Roman"/>
          <w:sz w:val="22"/>
          <w:szCs w:val="22"/>
        </w:rPr>
      </w:pPr>
    </w:p>
    <w:p w:rsidR="00AC518C" w:rsidRPr="00DC56C1" w:rsidRDefault="00AC518C" w:rsidP="00110123">
      <w:pPr>
        <w:pStyle w:val="BodyCopy"/>
        <w:rPr>
          <w:rFonts w:ascii="Times New Roman" w:hAnsi="Times New Roman"/>
          <w:sz w:val="22"/>
          <w:szCs w:val="22"/>
        </w:rPr>
      </w:pPr>
    </w:p>
    <w:p w:rsidR="00AC518C" w:rsidRPr="00DC56C1" w:rsidRDefault="00AC518C" w:rsidP="00110123">
      <w:pPr>
        <w:pStyle w:val="BodyCopy"/>
        <w:rPr>
          <w:rFonts w:ascii="Times New Roman" w:hAnsi="Times New Roman"/>
          <w:sz w:val="22"/>
          <w:szCs w:val="22"/>
        </w:rPr>
      </w:pPr>
    </w:p>
    <w:p w:rsidR="00AC518C" w:rsidRPr="00DC56C1" w:rsidRDefault="00AC518C" w:rsidP="00110123">
      <w:pPr>
        <w:pStyle w:val="BodyCopy"/>
        <w:rPr>
          <w:rFonts w:ascii="Times New Roman" w:hAnsi="Times New Roman"/>
          <w:sz w:val="22"/>
          <w:szCs w:val="22"/>
        </w:rPr>
      </w:pPr>
    </w:p>
    <w:p w:rsidR="00AC518C" w:rsidRPr="00DC56C1" w:rsidRDefault="00AC518C" w:rsidP="00110123">
      <w:pPr>
        <w:pStyle w:val="BodyCopy"/>
        <w:rPr>
          <w:rFonts w:ascii="Times New Roman" w:hAnsi="Times New Roman"/>
          <w:sz w:val="22"/>
          <w:szCs w:val="22"/>
        </w:rPr>
      </w:pPr>
    </w:p>
    <w:p w:rsidR="00AC518C" w:rsidRPr="00DC56C1" w:rsidRDefault="00AC518C" w:rsidP="00110123">
      <w:pPr>
        <w:pStyle w:val="BodyCopy"/>
        <w:rPr>
          <w:rFonts w:ascii="Times New Roman" w:hAnsi="Times New Roman"/>
          <w:sz w:val="22"/>
          <w:szCs w:val="22"/>
        </w:rPr>
      </w:pPr>
    </w:p>
    <w:p w:rsidR="00AC518C" w:rsidRPr="00DC56C1" w:rsidRDefault="00AC518C" w:rsidP="00110123">
      <w:pPr>
        <w:pStyle w:val="BodyCopy"/>
        <w:rPr>
          <w:rFonts w:ascii="Times New Roman" w:hAnsi="Times New Roman"/>
          <w:sz w:val="22"/>
          <w:szCs w:val="22"/>
        </w:rPr>
      </w:pPr>
    </w:p>
    <w:p w:rsidR="00284D20" w:rsidRPr="00DC56C1" w:rsidRDefault="00284D20" w:rsidP="00110123">
      <w:pPr>
        <w:pStyle w:val="BodyCopy"/>
        <w:rPr>
          <w:rFonts w:ascii="Times New Roman" w:hAnsi="Times New Roman"/>
          <w:sz w:val="22"/>
          <w:szCs w:val="22"/>
        </w:rPr>
      </w:pPr>
    </w:p>
    <w:p w:rsidR="00AC518C" w:rsidRPr="00DC56C1" w:rsidRDefault="00AC518C" w:rsidP="00110123">
      <w:pPr>
        <w:pStyle w:val="BodyCopy"/>
        <w:rPr>
          <w:rFonts w:ascii="Times New Roman" w:hAnsi="Times New Roman"/>
          <w:sz w:val="22"/>
          <w:szCs w:val="22"/>
        </w:rPr>
      </w:pPr>
    </w:p>
    <w:p w:rsidR="00946DC3" w:rsidRPr="00DC56C1" w:rsidRDefault="00946DC3" w:rsidP="00110123">
      <w:pPr>
        <w:pStyle w:val="BodyCopy"/>
        <w:rPr>
          <w:rFonts w:ascii="Times New Roman" w:hAnsi="Times New Roman"/>
          <w:sz w:val="22"/>
          <w:szCs w:val="22"/>
        </w:rPr>
      </w:pPr>
    </w:p>
    <w:p w:rsidR="00946DC3" w:rsidRPr="00DC56C1" w:rsidRDefault="00946DC3" w:rsidP="00110123">
      <w:pPr>
        <w:pStyle w:val="BodyCopy"/>
        <w:rPr>
          <w:rFonts w:ascii="Times New Roman" w:hAnsi="Times New Roman"/>
          <w:sz w:val="22"/>
          <w:szCs w:val="22"/>
        </w:rPr>
      </w:pPr>
    </w:p>
    <w:p w:rsidR="004E5E25" w:rsidRPr="00DC56C1" w:rsidRDefault="004E5E25" w:rsidP="00110123">
      <w:pPr>
        <w:pStyle w:val="BodyCopy"/>
        <w:rPr>
          <w:rFonts w:ascii="Times New Roman" w:hAnsi="Times New Roman"/>
          <w:sz w:val="22"/>
          <w:szCs w:val="22"/>
        </w:rPr>
      </w:pPr>
    </w:p>
    <w:p w:rsidR="00946DC3" w:rsidRPr="00DC56C1" w:rsidRDefault="00946DC3" w:rsidP="00110123">
      <w:pPr>
        <w:pStyle w:val="BodyCopy"/>
        <w:rPr>
          <w:rFonts w:ascii="Times New Roman" w:hAnsi="Times New Roman"/>
          <w:sz w:val="22"/>
          <w:szCs w:val="22"/>
        </w:rPr>
      </w:pPr>
    </w:p>
    <w:p w:rsidR="00946DC3" w:rsidRPr="00DC56C1" w:rsidRDefault="00946DC3" w:rsidP="00110123">
      <w:pPr>
        <w:pStyle w:val="BodyCopy"/>
        <w:rPr>
          <w:rFonts w:ascii="Times New Roman" w:hAnsi="Times New Roman"/>
          <w:sz w:val="22"/>
          <w:szCs w:val="22"/>
        </w:rPr>
      </w:pPr>
    </w:p>
    <w:p w:rsidR="00946DC3" w:rsidRPr="00DC56C1" w:rsidRDefault="00946DC3" w:rsidP="00110123">
      <w:pPr>
        <w:pStyle w:val="BodyCopy"/>
        <w:rPr>
          <w:rFonts w:ascii="Times New Roman" w:hAnsi="Times New Roman"/>
          <w:sz w:val="22"/>
          <w:szCs w:val="22"/>
        </w:rPr>
      </w:pPr>
    </w:p>
    <w:p w:rsidR="00946DC3" w:rsidRPr="00DC56C1" w:rsidRDefault="00946DC3" w:rsidP="00110123">
      <w:pPr>
        <w:pStyle w:val="BodyCopy"/>
        <w:rPr>
          <w:rFonts w:ascii="Times New Roman" w:hAnsi="Times New Roman"/>
          <w:sz w:val="22"/>
          <w:szCs w:val="22"/>
        </w:rPr>
      </w:pPr>
    </w:p>
    <w:p w:rsidR="006874D3" w:rsidRPr="00DC56C1" w:rsidRDefault="006874D3" w:rsidP="006874D3">
      <w:pPr>
        <w:pStyle w:val="Heading1"/>
        <w:shd w:val="clear" w:color="auto" w:fill="FFC000"/>
        <w:jc w:val="left"/>
        <w:rPr>
          <w:rFonts w:ascii="Times New Roman" w:hAnsi="Times New Roman"/>
          <w:color w:val="FFFFFF"/>
          <w:sz w:val="22"/>
          <w:szCs w:val="22"/>
        </w:rPr>
      </w:pPr>
      <w:r w:rsidRPr="00DC56C1">
        <w:rPr>
          <w:rFonts w:ascii="Times New Roman" w:hAnsi="Times New Roman"/>
          <w:color w:val="FFFFFF"/>
          <w:sz w:val="22"/>
          <w:szCs w:val="22"/>
        </w:rPr>
        <w:t xml:space="preserve">project summary </w:t>
      </w:r>
    </w:p>
    <w:p w:rsidR="00946DC3" w:rsidRPr="00DC56C1" w:rsidRDefault="00946DC3" w:rsidP="00110123">
      <w:pPr>
        <w:pStyle w:val="BodyCopy"/>
        <w:rPr>
          <w:rFonts w:ascii="Times New Roman" w:hAnsi="Times New Roman"/>
          <w:sz w:val="22"/>
          <w:szCs w:val="22"/>
        </w:rPr>
      </w:pPr>
    </w:p>
    <w:tbl>
      <w:tblPr>
        <w:tblpPr w:leftFromText="180" w:rightFromText="180" w:vertAnchor="page" w:horzAnchor="margin" w:tblpY="1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7747"/>
      </w:tblGrid>
      <w:tr w:rsidR="004E5E25" w:rsidRPr="00DC56C1" w:rsidTr="009565BC">
        <w:tc>
          <w:tcPr>
            <w:tcW w:w="3528" w:type="dxa"/>
          </w:tcPr>
          <w:p w:rsidR="004E5E25" w:rsidRPr="00DC56C1" w:rsidRDefault="004E5E25" w:rsidP="009565BC">
            <w:pPr>
              <w:pStyle w:val="BodyCopy"/>
              <w:rPr>
                <w:rFonts w:ascii="Times New Roman" w:hAnsi="Times New Roman"/>
                <w:sz w:val="22"/>
                <w:szCs w:val="22"/>
              </w:rPr>
            </w:pPr>
            <w:r w:rsidRPr="00DC56C1">
              <w:rPr>
                <w:rFonts w:ascii="Times New Roman" w:hAnsi="Times New Roman"/>
                <w:sz w:val="22"/>
                <w:szCs w:val="22"/>
              </w:rPr>
              <w:t>Project title:</w:t>
            </w:r>
          </w:p>
        </w:tc>
        <w:tc>
          <w:tcPr>
            <w:tcW w:w="7918" w:type="dxa"/>
          </w:tcPr>
          <w:p w:rsidR="004E5E25" w:rsidRPr="00DC56C1" w:rsidRDefault="0081481C" w:rsidP="0081481C">
            <w:pPr>
              <w:pStyle w:val="BodyCopy"/>
              <w:rPr>
                <w:rFonts w:ascii="Times New Roman" w:hAnsi="Times New Roman"/>
                <w:sz w:val="22"/>
                <w:szCs w:val="22"/>
              </w:rPr>
            </w:pPr>
            <w:r w:rsidRPr="00DC56C1">
              <w:rPr>
                <w:rFonts w:ascii="Times New Roman" w:hAnsi="Times New Roman"/>
                <w:sz w:val="22"/>
                <w:szCs w:val="22"/>
              </w:rPr>
              <w:t xml:space="preserve">Support to </w:t>
            </w:r>
            <w:r w:rsidR="009D4FAC" w:rsidRPr="00DC56C1">
              <w:rPr>
                <w:rFonts w:ascii="Times New Roman" w:hAnsi="Times New Roman"/>
                <w:sz w:val="22"/>
                <w:szCs w:val="22"/>
              </w:rPr>
              <w:t>strengthening</w:t>
            </w:r>
            <w:r w:rsidRPr="00DC56C1">
              <w:rPr>
                <w:rFonts w:ascii="Times New Roman" w:hAnsi="Times New Roman"/>
                <w:sz w:val="22"/>
                <w:szCs w:val="22"/>
              </w:rPr>
              <w:t xml:space="preserve"> the rule of law and access to justice on Libya during the transition to democracy (2012-2014) </w:t>
            </w:r>
          </w:p>
        </w:tc>
      </w:tr>
      <w:tr w:rsidR="004E5E25" w:rsidRPr="00DC56C1" w:rsidTr="009565BC">
        <w:tc>
          <w:tcPr>
            <w:tcW w:w="3528" w:type="dxa"/>
          </w:tcPr>
          <w:p w:rsidR="004E5E25" w:rsidRPr="00DC56C1" w:rsidRDefault="004E5E25" w:rsidP="009565BC">
            <w:pPr>
              <w:pStyle w:val="BodyCopy"/>
              <w:rPr>
                <w:rFonts w:ascii="Times New Roman" w:hAnsi="Times New Roman"/>
                <w:sz w:val="22"/>
                <w:szCs w:val="22"/>
              </w:rPr>
            </w:pPr>
            <w:r w:rsidRPr="00DC56C1">
              <w:rPr>
                <w:rFonts w:ascii="Times New Roman" w:hAnsi="Times New Roman"/>
                <w:sz w:val="22"/>
                <w:szCs w:val="22"/>
              </w:rPr>
              <w:t>Award ID and project number:</w:t>
            </w:r>
          </w:p>
        </w:tc>
        <w:tc>
          <w:tcPr>
            <w:tcW w:w="7918" w:type="dxa"/>
          </w:tcPr>
          <w:p w:rsidR="004E5E25" w:rsidRPr="00DC56C1" w:rsidRDefault="008D774F" w:rsidP="008D774F">
            <w:pPr>
              <w:pStyle w:val="BodyCopy"/>
              <w:rPr>
                <w:rFonts w:ascii="Times New Roman" w:hAnsi="Times New Roman"/>
                <w:sz w:val="22"/>
                <w:szCs w:val="22"/>
              </w:rPr>
            </w:pPr>
            <w:r w:rsidRPr="008D774F">
              <w:rPr>
                <w:rFonts w:ascii="Times New Roman" w:hAnsi="Times New Roman"/>
                <w:sz w:val="22"/>
                <w:szCs w:val="22"/>
              </w:rPr>
              <w:t>00067343</w:t>
            </w:r>
            <w:r>
              <w:rPr>
                <w:rFonts w:ascii="Times New Roman" w:hAnsi="Times New Roman"/>
                <w:sz w:val="22"/>
                <w:szCs w:val="22"/>
              </w:rPr>
              <w:t xml:space="preserve">, </w:t>
            </w:r>
            <w:r w:rsidR="0081481C" w:rsidRPr="00DC56C1">
              <w:rPr>
                <w:rFonts w:ascii="Times New Roman" w:hAnsi="Times New Roman"/>
                <w:sz w:val="22"/>
                <w:szCs w:val="22"/>
              </w:rPr>
              <w:t>00082787</w:t>
            </w:r>
          </w:p>
        </w:tc>
      </w:tr>
      <w:tr w:rsidR="004E5E25" w:rsidRPr="00DC56C1" w:rsidTr="009565BC">
        <w:tc>
          <w:tcPr>
            <w:tcW w:w="3528" w:type="dxa"/>
          </w:tcPr>
          <w:p w:rsidR="004E5E25" w:rsidRPr="00DC56C1" w:rsidRDefault="004E5E25" w:rsidP="009565BC">
            <w:pPr>
              <w:pStyle w:val="BodyCopy"/>
              <w:rPr>
                <w:rFonts w:ascii="Times New Roman" w:hAnsi="Times New Roman"/>
                <w:sz w:val="22"/>
                <w:szCs w:val="22"/>
              </w:rPr>
            </w:pPr>
            <w:r w:rsidRPr="00DC56C1">
              <w:rPr>
                <w:rFonts w:ascii="Times New Roman" w:hAnsi="Times New Roman"/>
                <w:sz w:val="22"/>
                <w:szCs w:val="22"/>
              </w:rPr>
              <w:t>Project duration:</w:t>
            </w:r>
          </w:p>
        </w:tc>
        <w:tc>
          <w:tcPr>
            <w:tcW w:w="7918" w:type="dxa"/>
          </w:tcPr>
          <w:p w:rsidR="00C03921" w:rsidRPr="00DC56C1" w:rsidRDefault="00A80F39" w:rsidP="00C03921">
            <w:pPr>
              <w:pStyle w:val="BodyCopy"/>
              <w:rPr>
                <w:rFonts w:ascii="Times New Roman" w:hAnsi="Times New Roman"/>
                <w:sz w:val="22"/>
                <w:szCs w:val="22"/>
              </w:rPr>
            </w:pPr>
            <w:r w:rsidRPr="00DC56C1">
              <w:rPr>
                <w:rFonts w:ascii="Times New Roman" w:hAnsi="Times New Roman"/>
                <w:sz w:val="22"/>
                <w:szCs w:val="22"/>
              </w:rPr>
              <w:t xml:space="preserve">One year </w:t>
            </w:r>
          </w:p>
          <w:p w:rsidR="004E5E25" w:rsidRPr="00DC56C1" w:rsidRDefault="00A80F39" w:rsidP="00C03921">
            <w:pPr>
              <w:pStyle w:val="BodyCopy"/>
              <w:rPr>
                <w:rFonts w:ascii="Times New Roman" w:hAnsi="Times New Roman"/>
                <w:sz w:val="22"/>
                <w:szCs w:val="22"/>
              </w:rPr>
            </w:pPr>
            <w:r w:rsidRPr="00DC56C1">
              <w:rPr>
                <w:rFonts w:ascii="Times New Roman" w:hAnsi="Times New Roman"/>
                <w:sz w:val="22"/>
                <w:szCs w:val="22"/>
              </w:rPr>
              <w:t>Jan</w:t>
            </w:r>
            <w:r w:rsidR="00C03921" w:rsidRPr="00DC56C1">
              <w:rPr>
                <w:rFonts w:ascii="Times New Roman" w:hAnsi="Times New Roman"/>
                <w:sz w:val="22"/>
                <w:szCs w:val="22"/>
              </w:rPr>
              <w:t xml:space="preserve"> 2012</w:t>
            </w:r>
            <w:r w:rsidRPr="00DC56C1">
              <w:rPr>
                <w:rFonts w:ascii="Times New Roman" w:hAnsi="Times New Roman"/>
                <w:sz w:val="22"/>
                <w:szCs w:val="22"/>
              </w:rPr>
              <w:t xml:space="preserve"> –Dec 2012</w:t>
            </w:r>
          </w:p>
        </w:tc>
      </w:tr>
      <w:tr w:rsidR="004E5E25" w:rsidRPr="00DC56C1" w:rsidTr="009565BC">
        <w:tc>
          <w:tcPr>
            <w:tcW w:w="3528" w:type="dxa"/>
          </w:tcPr>
          <w:p w:rsidR="004E5E25" w:rsidRPr="00DC56C1" w:rsidRDefault="004E5E25" w:rsidP="009565BC">
            <w:pPr>
              <w:pStyle w:val="BodyCopy"/>
              <w:rPr>
                <w:rFonts w:ascii="Times New Roman" w:hAnsi="Times New Roman"/>
                <w:sz w:val="22"/>
                <w:szCs w:val="22"/>
              </w:rPr>
            </w:pPr>
            <w:r w:rsidRPr="00DC56C1">
              <w:rPr>
                <w:rFonts w:ascii="Times New Roman" w:hAnsi="Times New Roman"/>
                <w:sz w:val="22"/>
                <w:szCs w:val="22"/>
              </w:rPr>
              <w:t xml:space="preserve">Extension(s) (if applicable): </w:t>
            </w:r>
          </w:p>
        </w:tc>
        <w:tc>
          <w:tcPr>
            <w:tcW w:w="7918" w:type="dxa"/>
          </w:tcPr>
          <w:p w:rsidR="004E5E25" w:rsidRPr="00DC56C1" w:rsidRDefault="00A80F39" w:rsidP="00A80F39">
            <w:pPr>
              <w:pStyle w:val="BodyCopy"/>
              <w:rPr>
                <w:rFonts w:ascii="Times New Roman" w:hAnsi="Times New Roman"/>
                <w:sz w:val="22"/>
                <w:szCs w:val="22"/>
              </w:rPr>
            </w:pPr>
            <w:r w:rsidRPr="00DC56C1">
              <w:rPr>
                <w:rFonts w:ascii="Times New Roman" w:hAnsi="Times New Roman"/>
                <w:sz w:val="22"/>
                <w:szCs w:val="22"/>
              </w:rPr>
              <w:t>By six months  till 30 June 2013</w:t>
            </w:r>
          </w:p>
        </w:tc>
      </w:tr>
      <w:tr w:rsidR="004E5E25" w:rsidRPr="00DC56C1" w:rsidTr="009565BC">
        <w:tc>
          <w:tcPr>
            <w:tcW w:w="3528" w:type="dxa"/>
          </w:tcPr>
          <w:p w:rsidR="004E5E25" w:rsidRPr="00DC56C1" w:rsidRDefault="0083228E" w:rsidP="009565BC">
            <w:pPr>
              <w:pStyle w:val="BodyCopy"/>
              <w:rPr>
                <w:rFonts w:ascii="Times New Roman" w:hAnsi="Times New Roman"/>
                <w:sz w:val="22"/>
                <w:szCs w:val="22"/>
              </w:rPr>
            </w:pPr>
            <w:r w:rsidRPr="00DC56C1">
              <w:rPr>
                <w:rFonts w:ascii="Times New Roman" w:hAnsi="Times New Roman"/>
                <w:sz w:val="22"/>
                <w:szCs w:val="22"/>
              </w:rPr>
              <w:t>Executive a</w:t>
            </w:r>
            <w:r w:rsidR="004E5E25" w:rsidRPr="00DC56C1">
              <w:rPr>
                <w:rFonts w:ascii="Times New Roman" w:hAnsi="Times New Roman"/>
                <w:sz w:val="22"/>
                <w:szCs w:val="22"/>
              </w:rPr>
              <w:t xml:space="preserve">gency: </w:t>
            </w:r>
          </w:p>
        </w:tc>
        <w:tc>
          <w:tcPr>
            <w:tcW w:w="7918" w:type="dxa"/>
          </w:tcPr>
          <w:p w:rsidR="004E5E25" w:rsidRPr="00DC56C1" w:rsidRDefault="00A80F39" w:rsidP="009565BC">
            <w:pPr>
              <w:pStyle w:val="BodyCopy"/>
              <w:rPr>
                <w:rFonts w:ascii="Times New Roman" w:hAnsi="Times New Roman"/>
                <w:sz w:val="22"/>
                <w:szCs w:val="22"/>
              </w:rPr>
            </w:pPr>
            <w:r w:rsidRPr="00DC56C1">
              <w:rPr>
                <w:rFonts w:ascii="Times New Roman" w:hAnsi="Times New Roman"/>
                <w:sz w:val="22"/>
                <w:szCs w:val="22"/>
              </w:rPr>
              <w:t>UNDP</w:t>
            </w:r>
          </w:p>
        </w:tc>
      </w:tr>
      <w:tr w:rsidR="004E5E25" w:rsidRPr="00DC56C1" w:rsidTr="009565BC">
        <w:tc>
          <w:tcPr>
            <w:tcW w:w="3528" w:type="dxa"/>
          </w:tcPr>
          <w:p w:rsidR="004E5E25" w:rsidRPr="00DC56C1" w:rsidRDefault="0083228E" w:rsidP="009565BC">
            <w:pPr>
              <w:pStyle w:val="BodyCopy"/>
              <w:rPr>
                <w:rFonts w:ascii="Times New Roman" w:hAnsi="Times New Roman"/>
                <w:sz w:val="22"/>
                <w:szCs w:val="22"/>
              </w:rPr>
            </w:pPr>
            <w:r w:rsidRPr="00DC56C1">
              <w:rPr>
                <w:rFonts w:ascii="Times New Roman" w:hAnsi="Times New Roman"/>
                <w:sz w:val="22"/>
                <w:szCs w:val="22"/>
              </w:rPr>
              <w:t>Implementing p</w:t>
            </w:r>
            <w:r w:rsidR="004E5E25" w:rsidRPr="00DC56C1">
              <w:rPr>
                <w:rFonts w:ascii="Times New Roman" w:hAnsi="Times New Roman"/>
                <w:sz w:val="22"/>
                <w:szCs w:val="22"/>
              </w:rPr>
              <w:t>artner</w:t>
            </w:r>
            <w:r w:rsidRPr="00DC56C1">
              <w:rPr>
                <w:rFonts w:ascii="Times New Roman" w:hAnsi="Times New Roman"/>
                <w:sz w:val="22"/>
                <w:szCs w:val="22"/>
              </w:rPr>
              <w:t>(s)</w:t>
            </w:r>
            <w:r w:rsidR="004E5E25" w:rsidRPr="00DC56C1">
              <w:rPr>
                <w:rFonts w:ascii="Times New Roman" w:hAnsi="Times New Roman"/>
                <w:sz w:val="22"/>
                <w:szCs w:val="22"/>
              </w:rPr>
              <w:t xml:space="preserve">: </w:t>
            </w:r>
          </w:p>
        </w:tc>
        <w:tc>
          <w:tcPr>
            <w:tcW w:w="7918" w:type="dxa"/>
          </w:tcPr>
          <w:p w:rsidR="004E5E25" w:rsidRPr="00DC56C1" w:rsidRDefault="00A80F39" w:rsidP="009565BC">
            <w:pPr>
              <w:pStyle w:val="BodyCopy"/>
              <w:rPr>
                <w:rFonts w:ascii="Times New Roman" w:hAnsi="Times New Roman"/>
                <w:sz w:val="22"/>
                <w:szCs w:val="22"/>
              </w:rPr>
            </w:pPr>
            <w:r w:rsidRPr="00DC56C1">
              <w:rPr>
                <w:rFonts w:ascii="Times New Roman" w:hAnsi="Times New Roman"/>
                <w:sz w:val="22"/>
                <w:szCs w:val="22"/>
              </w:rPr>
              <w:t>None</w:t>
            </w:r>
          </w:p>
        </w:tc>
      </w:tr>
      <w:tr w:rsidR="004E5E25" w:rsidRPr="00DC56C1" w:rsidTr="009565BC">
        <w:tc>
          <w:tcPr>
            <w:tcW w:w="3528" w:type="dxa"/>
          </w:tcPr>
          <w:p w:rsidR="004E5E25" w:rsidRPr="00DC56C1" w:rsidRDefault="004E5E25" w:rsidP="009565BC">
            <w:pPr>
              <w:pStyle w:val="BodyCopy"/>
              <w:rPr>
                <w:rFonts w:ascii="Times New Roman" w:hAnsi="Times New Roman"/>
                <w:sz w:val="22"/>
                <w:szCs w:val="22"/>
              </w:rPr>
            </w:pPr>
            <w:r w:rsidRPr="00DC56C1">
              <w:rPr>
                <w:rFonts w:ascii="Times New Roman" w:hAnsi="Times New Roman"/>
                <w:sz w:val="22"/>
                <w:szCs w:val="22"/>
              </w:rPr>
              <w:t xml:space="preserve">Total budget: </w:t>
            </w:r>
          </w:p>
        </w:tc>
        <w:tc>
          <w:tcPr>
            <w:tcW w:w="7918" w:type="dxa"/>
          </w:tcPr>
          <w:p w:rsidR="004E5E25" w:rsidRPr="00DC56C1" w:rsidRDefault="00A80F39" w:rsidP="009565BC">
            <w:pPr>
              <w:pStyle w:val="BodyCopy"/>
              <w:rPr>
                <w:rFonts w:ascii="Times New Roman" w:hAnsi="Times New Roman"/>
                <w:sz w:val="22"/>
                <w:szCs w:val="22"/>
              </w:rPr>
            </w:pPr>
            <w:r w:rsidRPr="00DC56C1">
              <w:rPr>
                <w:rFonts w:ascii="Times New Roman" w:hAnsi="Times New Roman"/>
                <w:sz w:val="22"/>
                <w:szCs w:val="22"/>
              </w:rPr>
              <w:t>$USD 400,000</w:t>
            </w:r>
          </w:p>
        </w:tc>
      </w:tr>
      <w:tr w:rsidR="004E5E25" w:rsidRPr="00DC56C1" w:rsidTr="009565BC">
        <w:tc>
          <w:tcPr>
            <w:tcW w:w="3528" w:type="dxa"/>
          </w:tcPr>
          <w:p w:rsidR="004E5E25" w:rsidRPr="00DC56C1" w:rsidRDefault="004E5E25" w:rsidP="009565BC">
            <w:pPr>
              <w:pStyle w:val="BodyCopy"/>
              <w:rPr>
                <w:rFonts w:ascii="Times New Roman" w:hAnsi="Times New Roman"/>
                <w:sz w:val="22"/>
                <w:szCs w:val="22"/>
              </w:rPr>
            </w:pPr>
            <w:r w:rsidRPr="00DC56C1">
              <w:rPr>
                <w:rFonts w:ascii="Times New Roman" w:hAnsi="Times New Roman"/>
                <w:sz w:val="22"/>
                <w:szCs w:val="22"/>
              </w:rPr>
              <w:t xml:space="preserve">Contribution from donor: </w:t>
            </w:r>
          </w:p>
        </w:tc>
        <w:tc>
          <w:tcPr>
            <w:tcW w:w="7918" w:type="dxa"/>
          </w:tcPr>
          <w:p w:rsidR="004E5E25" w:rsidRPr="00DC56C1" w:rsidRDefault="00A80F39" w:rsidP="009565BC">
            <w:pPr>
              <w:pStyle w:val="BodyCopy"/>
              <w:rPr>
                <w:rFonts w:ascii="Times New Roman" w:hAnsi="Times New Roman"/>
                <w:sz w:val="22"/>
                <w:szCs w:val="22"/>
              </w:rPr>
            </w:pPr>
            <w:r w:rsidRPr="00DC56C1">
              <w:rPr>
                <w:rFonts w:ascii="Times New Roman" w:hAnsi="Times New Roman"/>
                <w:sz w:val="22"/>
                <w:szCs w:val="22"/>
              </w:rPr>
              <w:t>None</w:t>
            </w:r>
          </w:p>
        </w:tc>
      </w:tr>
      <w:tr w:rsidR="004E5E25" w:rsidRPr="00DC56C1" w:rsidTr="009565BC">
        <w:tc>
          <w:tcPr>
            <w:tcW w:w="3528" w:type="dxa"/>
          </w:tcPr>
          <w:p w:rsidR="004E5E25" w:rsidRPr="00DC56C1" w:rsidRDefault="004E5E25" w:rsidP="009565BC">
            <w:pPr>
              <w:pStyle w:val="BodyCopy"/>
              <w:rPr>
                <w:rFonts w:ascii="Times New Roman" w:hAnsi="Times New Roman"/>
                <w:sz w:val="22"/>
                <w:szCs w:val="22"/>
              </w:rPr>
            </w:pPr>
            <w:r w:rsidRPr="00DC56C1">
              <w:rPr>
                <w:rFonts w:ascii="Times New Roman" w:hAnsi="Times New Roman"/>
                <w:sz w:val="22"/>
                <w:szCs w:val="22"/>
              </w:rPr>
              <w:t>Contribution from other donors:</w:t>
            </w:r>
          </w:p>
        </w:tc>
        <w:tc>
          <w:tcPr>
            <w:tcW w:w="7918" w:type="dxa"/>
          </w:tcPr>
          <w:p w:rsidR="004E5E25" w:rsidRPr="00DC56C1" w:rsidRDefault="00A80F39" w:rsidP="009565BC">
            <w:pPr>
              <w:pStyle w:val="BodyCopy"/>
              <w:rPr>
                <w:rFonts w:ascii="Times New Roman" w:hAnsi="Times New Roman"/>
                <w:sz w:val="22"/>
                <w:szCs w:val="22"/>
              </w:rPr>
            </w:pPr>
            <w:r w:rsidRPr="00DC56C1">
              <w:rPr>
                <w:rFonts w:ascii="Times New Roman" w:hAnsi="Times New Roman"/>
                <w:sz w:val="22"/>
                <w:szCs w:val="22"/>
              </w:rPr>
              <w:t>None</w:t>
            </w:r>
          </w:p>
        </w:tc>
      </w:tr>
      <w:tr w:rsidR="004E5E25" w:rsidRPr="00DC56C1" w:rsidTr="009565BC">
        <w:tc>
          <w:tcPr>
            <w:tcW w:w="3528" w:type="dxa"/>
          </w:tcPr>
          <w:p w:rsidR="004E5E25" w:rsidRPr="00DC56C1" w:rsidRDefault="004E5E25" w:rsidP="009565BC">
            <w:pPr>
              <w:pStyle w:val="BodyCopy"/>
              <w:rPr>
                <w:rFonts w:ascii="Times New Roman" w:hAnsi="Times New Roman"/>
                <w:sz w:val="22"/>
                <w:szCs w:val="22"/>
              </w:rPr>
            </w:pPr>
            <w:r w:rsidRPr="00DC56C1">
              <w:rPr>
                <w:rFonts w:ascii="Times New Roman" w:hAnsi="Times New Roman"/>
                <w:sz w:val="22"/>
                <w:szCs w:val="22"/>
              </w:rPr>
              <w:t>Related CPR outcome(s):</w:t>
            </w:r>
          </w:p>
        </w:tc>
        <w:tc>
          <w:tcPr>
            <w:tcW w:w="7918" w:type="dxa"/>
          </w:tcPr>
          <w:p w:rsidR="004E5E25" w:rsidRPr="00DC56C1" w:rsidRDefault="00A80F39" w:rsidP="008D774F">
            <w:pPr>
              <w:pStyle w:val="BodyCopy"/>
              <w:rPr>
                <w:rFonts w:ascii="Times New Roman" w:hAnsi="Times New Roman"/>
                <w:sz w:val="22"/>
                <w:szCs w:val="22"/>
              </w:rPr>
            </w:pPr>
            <w:r w:rsidRPr="00DC56C1">
              <w:rPr>
                <w:rFonts w:ascii="Times New Roman" w:hAnsi="Times New Roman"/>
                <w:sz w:val="22"/>
                <w:szCs w:val="22"/>
              </w:rPr>
              <w:t>Outcome 3 of C</w:t>
            </w:r>
            <w:r w:rsidR="008D774F" w:rsidRPr="00DC56C1">
              <w:rPr>
                <w:rFonts w:ascii="Times New Roman" w:hAnsi="Times New Roman"/>
                <w:sz w:val="22"/>
                <w:szCs w:val="22"/>
              </w:rPr>
              <w:t>P</w:t>
            </w:r>
            <w:r w:rsidRPr="00DC56C1">
              <w:rPr>
                <w:rFonts w:ascii="Times New Roman" w:hAnsi="Times New Roman"/>
                <w:sz w:val="22"/>
                <w:szCs w:val="22"/>
              </w:rPr>
              <w:t xml:space="preserve">D – Libya successfully manages its </w:t>
            </w:r>
            <w:r w:rsidR="009D4FAC" w:rsidRPr="00DC56C1">
              <w:rPr>
                <w:rFonts w:ascii="Times New Roman" w:hAnsi="Times New Roman"/>
                <w:sz w:val="22"/>
                <w:szCs w:val="22"/>
              </w:rPr>
              <w:t>transition</w:t>
            </w:r>
            <w:r w:rsidRPr="00DC56C1">
              <w:rPr>
                <w:rFonts w:ascii="Times New Roman" w:hAnsi="Times New Roman"/>
                <w:sz w:val="22"/>
                <w:szCs w:val="22"/>
              </w:rPr>
              <w:t xml:space="preserve"> to a state founded on the rule of law </w:t>
            </w:r>
          </w:p>
        </w:tc>
      </w:tr>
      <w:tr w:rsidR="004E5E25" w:rsidRPr="00DC56C1" w:rsidTr="009565BC">
        <w:tc>
          <w:tcPr>
            <w:tcW w:w="3528" w:type="dxa"/>
          </w:tcPr>
          <w:p w:rsidR="004E5E25" w:rsidRPr="00DC56C1" w:rsidRDefault="0083228E" w:rsidP="009565BC">
            <w:pPr>
              <w:pStyle w:val="BodyCopy"/>
              <w:rPr>
                <w:rFonts w:ascii="Times New Roman" w:hAnsi="Times New Roman"/>
                <w:sz w:val="22"/>
                <w:szCs w:val="22"/>
              </w:rPr>
            </w:pPr>
            <w:r w:rsidRPr="00DC56C1">
              <w:rPr>
                <w:rFonts w:ascii="Times New Roman" w:hAnsi="Times New Roman"/>
                <w:sz w:val="22"/>
                <w:szCs w:val="22"/>
              </w:rPr>
              <w:t>Date of r</w:t>
            </w:r>
            <w:r w:rsidR="004E5E25" w:rsidRPr="00DC56C1">
              <w:rPr>
                <w:rFonts w:ascii="Times New Roman" w:hAnsi="Times New Roman"/>
                <w:sz w:val="22"/>
                <w:szCs w:val="22"/>
              </w:rPr>
              <w:t xml:space="preserve">eport: </w:t>
            </w:r>
          </w:p>
        </w:tc>
        <w:tc>
          <w:tcPr>
            <w:tcW w:w="7918" w:type="dxa"/>
          </w:tcPr>
          <w:p w:rsidR="004E5E25" w:rsidRPr="00DC56C1" w:rsidRDefault="00D54EB3" w:rsidP="009565BC">
            <w:pPr>
              <w:pStyle w:val="BodyCopy"/>
              <w:rPr>
                <w:rFonts w:ascii="Times New Roman" w:hAnsi="Times New Roman"/>
                <w:sz w:val="22"/>
                <w:szCs w:val="22"/>
              </w:rPr>
            </w:pPr>
            <w:r w:rsidRPr="00DC56C1">
              <w:rPr>
                <w:rFonts w:ascii="Times New Roman" w:hAnsi="Times New Roman"/>
                <w:sz w:val="22"/>
                <w:szCs w:val="22"/>
              </w:rPr>
              <w:t>31 March 2013</w:t>
            </w:r>
          </w:p>
        </w:tc>
      </w:tr>
    </w:tbl>
    <w:p w:rsidR="004E5E25" w:rsidRPr="00DC56C1" w:rsidRDefault="004E5E25" w:rsidP="006874D3">
      <w:pPr>
        <w:spacing w:after="180"/>
        <w:jc w:val="both"/>
        <w:rPr>
          <w:rFonts w:ascii="Times New Roman" w:hAnsi="Times New Roman"/>
          <w:sz w:val="22"/>
          <w:szCs w:val="22"/>
        </w:rPr>
      </w:pPr>
      <w:r w:rsidRPr="00DC56C1">
        <w:rPr>
          <w:rFonts w:ascii="Times New Roman" w:hAnsi="Times New Roman"/>
          <w:sz w:val="22"/>
          <w:szCs w:val="22"/>
        </w:rPr>
        <w:br/>
      </w:r>
      <w:r w:rsidRPr="00DC56C1">
        <w:rPr>
          <w:rFonts w:ascii="Times New Roman" w:hAnsi="Times New Roman"/>
          <w:sz w:val="22"/>
          <w:szCs w:val="22"/>
        </w:rPr>
        <w:br/>
      </w:r>
    </w:p>
    <w:p w:rsidR="004E5E25" w:rsidRPr="00DC56C1" w:rsidRDefault="004E5E25" w:rsidP="004E5E25">
      <w:pPr>
        <w:pStyle w:val="Heading1"/>
        <w:shd w:val="clear" w:color="auto" w:fill="FFC000"/>
        <w:jc w:val="left"/>
        <w:rPr>
          <w:rFonts w:ascii="Times New Roman" w:hAnsi="Times New Roman"/>
          <w:color w:val="FFFFFF"/>
          <w:sz w:val="22"/>
          <w:szCs w:val="22"/>
        </w:rPr>
      </w:pPr>
      <w:r w:rsidRPr="00DC56C1">
        <w:rPr>
          <w:rFonts w:ascii="Times New Roman" w:hAnsi="Times New Roman"/>
          <w:color w:val="FFFFFF"/>
          <w:sz w:val="22"/>
          <w:szCs w:val="22"/>
        </w:rPr>
        <w:t xml:space="preserve">description of the project </w:t>
      </w:r>
    </w:p>
    <w:p w:rsidR="00AC518C" w:rsidRPr="00DC56C1" w:rsidRDefault="00946DC3" w:rsidP="008D3089">
      <w:pPr>
        <w:pStyle w:val="Heading3"/>
        <w:rPr>
          <w:rFonts w:ascii="Times New Roman" w:hAnsi="Times New Roman"/>
          <w:szCs w:val="22"/>
        </w:rPr>
      </w:pPr>
      <w:r w:rsidRPr="00DC56C1">
        <w:rPr>
          <w:rFonts w:ascii="Times New Roman" w:hAnsi="Times New Roman"/>
          <w:szCs w:val="22"/>
        </w:rPr>
        <w:t xml:space="preserve">Overall guidance: </w:t>
      </w:r>
    </w:p>
    <w:p w:rsidR="00D54EB3" w:rsidRPr="00DC56C1" w:rsidRDefault="00D54EB3" w:rsidP="00D54EB3">
      <w:pPr>
        <w:spacing w:before="40" w:after="40"/>
        <w:jc w:val="both"/>
        <w:rPr>
          <w:rFonts w:ascii="Times New Roman" w:hAnsi="Times New Roman"/>
          <w:sz w:val="22"/>
          <w:szCs w:val="22"/>
        </w:rPr>
      </w:pPr>
      <w:r w:rsidRPr="00DC56C1">
        <w:rPr>
          <w:rFonts w:ascii="Times New Roman" w:hAnsi="Times New Roman"/>
          <w:sz w:val="22"/>
          <w:szCs w:val="22"/>
        </w:rPr>
        <w:t xml:space="preserve">Between February and October 2011, Libya was embroiled in an armed liberation struggle between the autocratic regime of Colonel Moammer Al Qaddafi, and revolutionary forces determined to put an end to the dictator’s 42 year rule. This conflict had a weakening effect on the rule of law architecture and institutions, especially with regard to the provision of justice and security. </w:t>
      </w:r>
    </w:p>
    <w:p w:rsidR="00D54EB3" w:rsidRPr="00DC56C1" w:rsidRDefault="00D54EB3" w:rsidP="00D54EB3">
      <w:pPr>
        <w:spacing w:before="40" w:after="40"/>
        <w:jc w:val="both"/>
        <w:rPr>
          <w:rFonts w:ascii="Times New Roman" w:hAnsi="Times New Roman"/>
          <w:sz w:val="22"/>
          <w:szCs w:val="22"/>
        </w:rPr>
      </w:pPr>
    </w:p>
    <w:p w:rsidR="00D54EB3" w:rsidRPr="00DC56C1" w:rsidRDefault="00D54EB3" w:rsidP="00D54EB3">
      <w:pPr>
        <w:pStyle w:val="NoSpacing"/>
        <w:jc w:val="both"/>
        <w:rPr>
          <w:rFonts w:ascii="Times New Roman" w:hAnsi="Times New Roman"/>
          <w:noProof w:val="0"/>
          <w:szCs w:val="22"/>
        </w:rPr>
      </w:pPr>
      <w:r w:rsidRPr="00DC56C1">
        <w:rPr>
          <w:rFonts w:ascii="Times New Roman" w:hAnsi="Times New Roman"/>
          <w:szCs w:val="22"/>
        </w:rPr>
        <w:t xml:space="preserve">The overall objective of the present programme is to assist the restoration of justice and security in Libya in support of the country’s transition to democracy. The programme seeks to develop the capacities of key institutions to deliver equitable and efficient services to the Libyan people, facilitate recovery and promote development. Simultaneously, it aims to empower civil society and the Libyan people to access justice, resolve disputes and build peace. Accordingly, the programme is designed to contribute to three important outcomes for the country: (1) </w:t>
      </w:r>
      <w:r w:rsidRPr="00DC56C1">
        <w:rPr>
          <w:rFonts w:ascii="Times New Roman" w:hAnsi="Times New Roman"/>
          <w:noProof w:val="0"/>
          <w:szCs w:val="22"/>
        </w:rPr>
        <w:t xml:space="preserve">Strengthened capacity of Libyan rule of law institutions to provide services in a way which supports the transition to democracy; (2) Improved access to justice for conflict affected populations especially survivors of sexual and gender-based violence (SGBV), women and the displaced; and (3) Progress achieved in implementation of Transitional Justice process to promote national reconciliation, including contributing to national consensus on Transitional Justice. </w:t>
      </w:r>
    </w:p>
    <w:p w:rsidR="00D54EB3" w:rsidRPr="00DC56C1" w:rsidRDefault="00D54EB3" w:rsidP="00D54EB3">
      <w:pPr>
        <w:pStyle w:val="NoSpacing"/>
        <w:jc w:val="both"/>
        <w:rPr>
          <w:rFonts w:ascii="Times New Roman" w:hAnsi="Times New Roman"/>
          <w:noProof w:val="0"/>
          <w:szCs w:val="22"/>
        </w:rPr>
      </w:pPr>
    </w:p>
    <w:p w:rsidR="00D54EB3" w:rsidRPr="00DC56C1" w:rsidRDefault="00D54EB3" w:rsidP="00D54EB3">
      <w:pPr>
        <w:spacing w:before="40" w:after="40"/>
        <w:jc w:val="both"/>
        <w:rPr>
          <w:rFonts w:ascii="Times New Roman" w:hAnsi="Times New Roman"/>
          <w:sz w:val="22"/>
          <w:szCs w:val="22"/>
        </w:rPr>
      </w:pPr>
      <w:r w:rsidRPr="00DC56C1">
        <w:rPr>
          <w:rFonts w:ascii="Times New Roman" w:hAnsi="Times New Roman"/>
          <w:sz w:val="22"/>
          <w:szCs w:val="22"/>
        </w:rPr>
        <w:t>In striving for these outcomes, UNDP will work over the next 2 years in close collaboration with the relevant Libyan authorities, and within the context of broader international support to strengthening the rule of law in Libya.</w:t>
      </w:r>
    </w:p>
    <w:p w:rsidR="00D54EB3" w:rsidRPr="00DC56C1" w:rsidRDefault="00D54EB3" w:rsidP="00D54EB3">
      <w:pPr>
        <w:spacing w:before="40" w:after="40"/>
        <w:jc w:val="both"/>
        <w:rPr>
          <w:rFonts w:ascii="Times New Roman" w:hAnsi="Times New Roman"/>
          <w:sz w:val="22"/>
          <w:szCs w:val="22"/>
        </w:rPr>
      </w:pPr>
    </w:p>
    <w:p w:rsidR="00D54EB3" w:rsidRPr="00DC56C1" w:rsidRDefault="00D54EB3" w:rsidP="00C03921">
      <w:pPr>
        <w:spacing w:before="40" w:after="40"/>
        <w:jc w:val="both"/>
        <w:rPr>
          <w:rFonts w:ascii="Times New Roman" w:hAnsi="Times New Roman"/>
          <w:sz w:val="22"/>
          <w:szCs w:val="22"/>
        </w:rPr>
      </w:pPr>
      <w:r w:rsidRPr="00DC56C1">
        <w:rPr>
          <w:rFonts w:ascii="Times New Roman" w:hAnsi="Times New Roman"/>
          <w:sz w:val="22"/>
          <w:szCs w:val="22"/>
        </w:rPr>
        <w:t xml:space="preserve">Rule of law institutions (police, judiciary and corrections) in Libya remain weak and are non-functioning in many </w:t>
      </w:r>
      <w:r w:rsidR="00C03921" w:rsidRPr="00DC56C1">
        <w:rPr>
          <w:rFonts w:ascii="Times New Roman" w:hAnsi="Times New Roman"/>
          <w:sz w:val="22"/>
          <w:szCs w:val="22"/>
        </w:rPr>
        <w:t xml:space="preserve">key </w:t>
      </w:r>
      <w:r w:rsidRPr="00DC56C1">
        <w:rPr>
          <w:rFonts w:ascii="Times New Roman" w:hAnsi="Times New Roman"/>
          <w:sz w:val="22"/>
          <w:szCs w:val="22"/>
        </w:rPr>
        <w:t>operational aspects</w:t>
      </w:r>
      <w:r w:rsidR="00C03921" w:rsidRPr="00DC56C1">
        <w:rPr>
          <w:rFonts w:ascii="Times New Roman" w:hAnsi="Times New Roman"/>
          <w:sz w:val="22"/>
          <w:szCs w:val="22"/>
        </w:rPr>
        <w:t xml:space="preserve"> due to uncertain security situation, weak institutional capacities and lack of strategic planning by the Libyan Government which has led to </w:t>
      </w:r>
      <w:r w:rsidR="00C03921" w:rsidRPr="006874D3">
        <w:rPr>
          <w:rFonts w:ascii="Times New Roman" w:hAnsi="Times New Roman"/>
          <w:i/>
          <w:iCs/>
          <w:sz w:val="22"/>
          <w:szCs w:val="22"/>
        </w:rPr>
        <w:t>ad hoc</w:t>
      </w:r>
      <w:r w:rsidR="00C03921" w:rsidRPr="00DC56C1">
        <w:rPr>
          <w:rFonts w:ascii="Times New Roman" w:hAnsi="Times New Roman"/>
          <w:sz w:val="22"/>
          <w:szCs w:val="22"/>
        </w:rPr>
        <w:t xml:space="preserve"> delivery of support and assistance from the international community. </w:t>
      </w:r>
      <w:r w:rsidRPr="00DC56C1">
        <w:rPr>
          <w:rFonts w:ascii="Times New Roman" w:hAnsi="Times New Roman"/>
          <w:sz w:val="22"/>
          <w:szCs w:val="22"/>
        </w:rPr>
        <w:t xml:space="preserve"> The Libyan government has commenced drafting national </w:t>
      </w:r>
      <w:r w:rsidR="00C03921" w:rsidRPr="00DC56C1">
        <w:rPr>
          <w:rFonts w:ascii="Times New Roman" w:hAnsi="Times New Roman"/>
          <w:sz w:val="22"/>
          <w:szCs w:val="22"/>
        </w:rPr>
        <w:t xml:space="preserve">strategies on rule of law and security sector reforms, and the international community, including the United Nations in Libya, has recently agreed with the government on specific priorities and forms of assistance to strengthen the rule of law in Libya. </w:t>
      </w:r>
      <w:r w:rsidRPr="00DC56C1">
        <w:rPr>
          <w:rFonts w:ascii="Times New Roman" w:hAnsi="Times New Roman"/>
          <w:sz w:val="22"/>
          <w:szCs w:val="22"/>
        </w:rPr>
        <w:t xml:space="preserve">  </w:t>
      </w:r>
    </w:p>
    <w:p w:rsidR="00D54EB3" w:rsidRPr="00DC56C1" w:rsidRDefault="00D54EB3" w:rsidP="00C03921">
      <w:pPr>
        <w:spacing w:before="40" w:after="40"/>
        <w:jc w:val="both"/>
        <w:rPr>
          <w:rFonts w:ascii="Times New Roman" w:hAnsi="Times New Roman"/>
          <w:sz w:val="22"/>
          <w:szCs w:val="22"/>
        </w:rPr>
      </w:pPr>
      <w:r w:rsidRPr="00DC56C1">
        <w:rPr>
          <w:rFonts w:ascii="Times New Roman" w:hAnsi="Times New Roman"/>
          <w:sz w:val="22"/>
          <w:szCs w:val="22"/>
        </w:rPr>
        <w:t xml:space="preserve"> </w:t>
      </w:r>
    </w:p>
    <w:p w:rsidR="004E5E25" w:rsidRPr="00DC56C1" w:rsidRDefault="004E5E25" w:rsidP="00AC518C">
      <w:pPr>
        <w:rPr>
          <w:rFonts w:ascii="Times New Roman" w:hAnsi="Times New Roman"/>
          <w:sz w:val="22"/>
          <w:szCs w:val="22"/>
        </w:rPr>
      </w:pPr>
    </w:p>
    <w:p w:rsidR="00841D1A" w:rsidRPr="00DC56C1" w:rsidRDefault="004E5E25" w:rsidP="004E5E25">
      <w:pPr>
        <w:pStyle w:val="Heading1"/>
        <w:shd w:val="clear" w:color="auto" w:fill="FFC000"/>
        <w:jc w:val="left"/>
        <w:rPr>
          <w:rFonts w:ascii="Times New Roman" w:hAnsi="Times New Roman"/>
          <w:color w:val="auto"/>
          <w:sz w:val="22"/>
          <w:szCs w:val="22"/>
        </w:rPr>
      </w:pPr>
      <w:r w:rsidRPr="00DC56C1">
        <w:rPr>
          <w:rFonts w:ascii="Times New Roman" w:hAnsi="Times New Roman"/>
          <w:color w:val="FFFFFF"/>
          <w:sz w:val="22"/>
          <w:szCs w:val="22"/>
        </w:rPr>
        <w:t>project results and achievements</w:t>
      </w:r>
    </w:p>
    <w:p w:rsidR="00841D1A" w:rsidRPr="00DC56C1" w:rsidRDefault="00841D1A" w:rsidP="00841D1A">
      <w:pPr>
        <w:pStyle w:val="Heading3"/>
        <w:rPr>
          <w:rFonts w:ascii="Times New Roman" w:hAnsi="Times New Roman"/>
          <w:szCs w:val="22"/>
        </w:rPr>
      </w:pPr>
      <w:r w:rsidRPr="00DC56C1">
        <w:rPr>
          <w:rFonts w:ascii="Times New Roman" w:hAnsi="Times New Roman"/>
          <w:szCs w:val="22"/>
        </w:rPr>
        <w:t xml:space="preserve">Overall guidance: </w:t>
      </w:r>
    </w:p>
    <w:p w:rsidR="006C6EFA" w:rsidRPr="00DC56C1" w:rsidRDefault="00841D1A" w:rsidP="006C6EFA">
      <w:pPr>
        <w:pStyle w:val="ListParagraph"/>
        <w:numPr>
          <w:ilvl w:val="0"/>
          <w:numId w:val="4"/>
        </w:numPr>
        <w:spacing w:line="240" w:lineRule="auto"/>
        <w:ind w:left="360"/>
        <w:jc w:val="both"/>
        <w:rPr>
          <w:rFonts w:ascii="Times New Roman" w:hAnsi="Times New Roman"/>
          <w:b/>
          <w:bCs/>
        </w:rPr>
      </w:pPr>
      <w:r w:rsidRPr="00DC56C1">
        <w:rPr>
          <w:rFonts w:ascii="Times New Roman" w:hAnsi="Times New Roman"/>
          <w:b/>
          <w:bCs/>
        </w:rPr>
        <w:t xml:space="preserve">Project results </w:t>
      </w:r>
      <w:r w:rsidR="00AF4439" w:rsidRPr="00DC56C1">
        <w:rPr>
          <w:rFonts w:ascii="Times New Roman" w:hAnsi="Times New Roman"/>
          <w:b/>
          <w:bCs/>
        </w:rPr>
        <w:t xml:space="preserve"> and impact</w:t>
      </w:r>
    </w:p>
    <w:p w:rsidR="007B4B91" w:rsidRPr="00DC56C1" w:rsidRDefault="007B4B91" w:rsidP="007B4B91">
      <w:pPr>
        <w:pStyle w:val="ListParagraph"/>
        <w:spacing w:line="240" w:lineRule="auto"/>
        <w:ind w:left="0"/>
        <w:rPr>
          <w:rFonts w:ascii="Times New Roman" w:hAnsi="Times New Roman"/>
          <w:b/>
          <w:bCs/>
        </w:rPr>
      </w:pPr>
    </w:p>
    <w:p w:rsidR="00EF1DD9" w:rsidRPr="00DC56C1" w:rsidRDefault="007B4B91" w:rsidP="00260DA2">
      <w:pPr>
        <w:pStyle w:val="ListParagraph"/>
        <w:spacing w:line="240" w:lineRule="auto"/>
        <w:ind w:left="0"/>
        <w:rPr>
          <w:rFonts w:ascii="Times New Roman" w:hAnsi="Times New Roman"/>
          <w:b/>
          <w:bCs/>
        </w:rPr>
      </w:pPr>
      <w:r w:rsidRPr="00DC56C1">
        <w:rPr>
          <w:rFonts w:ascii="Times New Roman" w:hAnsi="Times New Roman"/>
          <w:b/>
          <w:bCs/>
        </w:rPr>
        <w:t>Output 1</w:t>
      </w:r>
      <w:r w:rsidR="00217264" w:rsidRPr="00DC56C1">
        <w:rPr>
          <w:rFonts w:ascii="Times New Roman" w:hAnsi="Times New Roman"/>
          <w:b/>
          <w:bCs/>
        </w:rPr>
        <w:t xml:space="preserve"> </w:t>
      </w:r>
      <w:r w:rsidRPr="00DC56C1">
        <w:rPr>
          <w:rFonts w:ascii="Times New Roman" w:hAnsi="Times New Roman"/>
          <w:b/>
          <w:bCs/>
        </w:rPr>
        <w:t xml:space="preserve">- Strengthened </w:t>
      </w:r>
      <w:r w:rsidR="00217264" w:rsidRPr="00DC56C1">
        <w:rPr>
          <w:rFonts w:ascii="Times New Roman" w:hAnsi="Times New Roman"/>
          <w:b/>
          <w:bCs/>
        </w:rPr>
        <w:t>capacity of Libyan</w:t>
      </w:r>
      <w:r w:rsidRPr="00DC56C1">
        <w:rPr>
          <w:rFonts w:ascii="Times New Roman" w:hAnsi="Times New Roman"/>
          <w:b/>
          <w:bCs/>
        </w:rPr>
        <w:t xml:space="preserve"> rule of law institutions to provide services in a way which supports the transition to democracy</w:t>
      </w:r>
      <w:r w:rsidR="002F67F0" w:rsidRPr="00DC56C1">
        <w:rPr>
          <w:rFonts w:ascii="Times New Roman" w:hAnsi="Times New Roman"/>
          <w:b/>
          <w:bCs/>
        </w:rPr>
        <w:t xml:space="preserve"> </w:t>
      </w:r>
    </w:p>
    <w:p w:rsidR="00217264" w:rsidRPr="00DC56C1" w:rsidRDefault="00217264" w:rsidP="00217264">
      <w:pPr>
        <w:pStyle w:val="ListParagraph"/>
        <w:spacing w:before="40" w:after="40"/>
        <w:ind w:left="0"/>
        <w:rPr>
          <w:rFonts w:ascii="Times New Roman" w:hAnsi="Times New Roman"/>
        </w:rPr>
      </w:pPr>
    </w:p>
    <w:p w:rsidR="007B4B91" w:rsidRPr="00DC56C1" w:rsidRDefault="00217264" w:rsidP="006874D3">
      <w:pPr>
        <w:pStyle w:val="ListParagraph"/>
        <w:spacing w:before="40" w:after="40"/>
        <w:ind w:left="0"/>
        <w:rPr>
          <w:rFonts w:ascii="Times New Roman" w:hAnsi="Times New Roman"/>
        </w:rPr>
      </w:pPr>
      <w:r w:rsidRPr="00DC56C1">
        <w:rPr>
          <w:rFonts w:ascii="Times New Roman" w:hAnsi="Times New Roman"/>
          <w:b/>
          <w:bCs/>
        </w:rPr>
        <w:t xml:space="preserve">Indicator 1- MOJ’s areas for capacity development identified; institutional development plan for MOJ </w:t>
      </w:r>
      <w:r w:rsidR="009D4FAC" w:rsidRPr="00DC56C1">
        <w:rPr>
          <w:rFonts w:ascii="Times New Roman" w:hAnsi="Times New Roman"/>
          <w:b/>
          <w:bCs/>
        </w:rPr>
        <w:t>finalized</w:t>
      </w:r>
      <w:r w:rsidRPr="00DC56C1">
        <w:rPr>
          <w:rFonts w:ascii="Times New Roman" w:hAnsi="Times New Roman"/>
          <w:b/>
          <w:bCs/>
        </w:rPr>
        <w:t xml:space="preserve"> and under implementation.</w:t>
      </w:r>
      <w:r w:rsidR="00F1655C" w:rsidRPr="00DC56C1">
        <w:rPr>
          <w:rFonts w:ascii="Times New Roman" w:hAnsi="Times New Roman"/>
          <w:b/>
          <w:bCs/>
        </w:rPr>
        <w:t xml:space="preserve"> </w:t>
      </w:r>
      <w:r w:rsidRPr="00DC56C1">
        <w:rPr>
          <w:rFonts w:ascii="Times New Roman" w:hAnsi="Times New Roman"/>
          <w:b/>
          <w:bCs/>
        </w:rPr>
        <w:t xml:space="preserve"> </w:t>
      </w:r>
      <w:r w:rsidRPr="00DC56C1">
        <w:rPr>
          <w:rFonts w:ascii="Times New Roman" w:hAnsi="Times New Roman"/>
        </w:rPr>
        <w:t>UNDP collaborated with UNSMIL and UNODC to organize  a</w:t>
      </w:r>
      <w:r w:rsidR="002F67F0" w:rsidRPr="00DC56C1">
        <w:rPr>
          <w:rFonts w:ascii="Times New Roman" w:hAnsi="Times New Roman"/>
        </w:rPr>
        <w:t xml:space="preserve"> workshop  (06 March 2013) for </w:t>
      </w:r>
      <w:r w:rsidRPr="00DC56C1">
        <w:rPr>
          <w:rFonts w:ascii="Times New Roman" w:hAnsi="Times New Roman"/>
        </w:rPr>
        <w:t>the Min</w:t>
      </w:r>
      <w:r w:rsidR="006874D3">
        <w:rPr>
          <w:rFonts w:ascii="Times New Roman" w:hAnsi="Times New Roman"/>
        </w:rPr>
        <w:t>i</w:t>
      </w:r>
      <w:r w:rsidRPr="00DC56C1">
        <w:rPr>
          <w:rFonts w:ascii="Times New Roman" w:hAnsi="Times New Roman"/>
        </w:rPr>
        <w:t xml:space="preserve">stry of Justice and </w:t>
      </w:r>
      <w:r w:rsidR="002F67F0" w:rsidRPr="00DC56C1">
        <w:rPr>
          <w:rFonts w:ascii="Times New Roman" w:hAnsi="Times New Roman"/>
        </w:rPr>
        <w:t>various relevant Ministries and government bodies on strategies to mainstream rule of law principles and standards in governance</w:t>
      </w:r>
      <w:r w:rsidR="006874D3">
        <w:rPr>
          <w:rFonts w:ascii="Times New Roman" w:hAnsi="Times New Roman"/>
        </w:rPr>
        <w:t>,</w:t>
      </w:r>
      <w:r w:rsidRPr="00DC56C1">
        <w:rPr>
          <w:rFonts w:ascii="Times New Roman" w:hAnsi="Times New Roman"/>
        </w:rPr>
        <w:t xml:space="preserve"> and</w:t>
      </w:r>
      <w:r w:rsidR="006874D3">
        <w:rPr>
          <w:rFonts w:ascii="Times New Roman" w:hAnsi="Times New Roman"/>
        </w:rPr>
        <w:t xml:space="preserve"> to</w:t>
      </w:r>
      <w:r w:rsidRPr="00DC56C1">
        <w:rPr>
          <w:rFonts w:ascii="Times New Roman" w:hAnsi="Times New Roman"/>
        </w:rPr>
        <w:t xml:space="preserve"> encourage coordination with the Ministry of Justice on rule of law initiatives.</w:t>
      </w:r>
      <w:r w:rsidR="002F67F0" w:rsidRPr="00DC56C1">
        <w:rPr>
          <w:rFonts w:ascii="Times New Roman" w:hAnsi="Times New Roman"/>
        </w:rPr>
        <w:t xml:space="preserve"> </w:t>
      </w:r>
      <w:r w:rsidR="00260DA2" w:rsidRPr="00DC56C1">
        <w:rPr>
          <w:rFonts w:ascii="Times New Roman" w:hAnsi="Times New Roman"/>
        </w:rPr>
        <w:t>Rule of law experts from the United Nations (including UNDP)</w:t>
      </w:r>
      <w:r w:rsidRPr="00DC56C1">
        <w:rPr>
          <w:rFonts w:ascii="Times New Roman" w:hAnsi="Times New Roman"/>
        </w:rPr>
        <w:t xml:space="preserve"> </w:t>
      </w:r>
      <w:r w:rsidR="00260DA2" w:rsidRPr="00DC56C1">
        <w:rPr>
          <w:rFonts w:ascii="Times New Roman" w:hAnsi="Times New Roman"/>
        </w:rPr>
        <w:t xml:space="preserve">provided the training and facilitated the discussions </w:t>
      </w:r>
      <w:r w:rsidR="002F67F0" w:rsidRPr="00DC56C1">
        <w:rPr>
          <w:rFonts w:ascii="Times New Roman" w:hAnsi="Times New Roman"/>
        </w:rPr>
        <w:t>.</w:t>
      </w:r>
      <w:r w:rsidR="00A31C3A" w:rsidRPr="00DC56C1">
        <w:rPr>
          <w:rFonts w:ascii="Times New Roman" w:hAnsi="Times New Roman"/>
        </w:rPr>
        <w:t xml:space="preserve">The discussion and questions </w:t>
      </w:r>
      <w:r w:rsidR="00F1655C" w:rsidRPr="00DC56C1">
        <w:rPr>
          <w:rFonts w:ascii="Times New Roman" w:hAnsi="Times New Roman"/>
        </w:rPr>
        <w:t>raised illustrated</w:t>
      </w:r>
      <w:r w:rsidR="00A31C3A" w:rsidRPr="00DC56C1">
        <w:rPr>
          <w:rFonts w:ascii="Times New Roman" w:hAnsi="Times New Roman"/>
        </w:rPr>
        <w:t xml:space="preserve"> the</w:t>
      </w:r>
      <w:r w:rsidR="00260DA2" w:rsidRPr="00DC56C1">
        <w:rPr>
          <w:rFonts w:ascii="Times New Roman" w:hAnsi="Times New Roman"/>
        </w:rPr>
        <w:t xml:space="preserve"> lack of understanding on the part of participants in </w:t>
      </w:r>
      <w:r w:rsidR="00F1655C" w:rsidRPr="00DC56C1">
        <w:rPr>
          <w:rFonts w:ascii="Times New Roman" w:hAnsi="Times New Roman"/>
        </w:rPr>
        <w:t>understanding and i</w:t>
      </w:r>
      <w:r w:rsidR="006874D3">
        <w:rPr>
          <w:rFonts w:ascii="Times New Roman" w:hAnsi="Times New Roman"/>
        </w:rPr>
        <w:t>n</w:t>
      </w:r>
      <w:r w:rsidR="00F1655C" w:rsidRPr="00DC56C1">
        <w:rPr>
          <w:rFonts w:ascii="Times New Roman" w:hAnsi="Times New Roman"/>
        </w:rPr>
        <w:t>tegrating</w:t>
      </w:r>
      <w:r w:rsidR="00260DA2" w:rsidRPr="00DC56C1">
        <w:rPr>
          <w:rFonts w:ascii="Times New Roman" w:hAnsi="Times New Roman"/>
        </w:rPr>
        <w:t xml:space="preserve"> rule of law in the various mandates of the Ministries. The workshop offered a relevant and timely introduction to the subject-matter, addressed </w:t>
      </w:r>
      <w:r w:rsidR="006874D3">
        <w:rPr>
          <w:rFonts w:ascii="Times New Roman" w:hAnsi="Times New Roman"/>
        </w:rPr>
        <w:t xml:space="preserve">rule of law </w:t>
      </w:r>
      <w:r w:rsidR="00260DA2" w:rsidRPr="00DC56C1">
        <w:rPr>
          <w:rFonts w:ascii="Times New Roman" w:hAnsi="Times New Roman"/>
        </w:rPr>
        <w:t>challenges and priorities of the government</w:t>
      </w:r>
      <w:r w:rsidR="006874D3">
        <w:rPr>
          <w:rFonts w:ascii="Times New Roman" w:hAnsi="Times New Roman"/>
        </w:rPr>
        <w:t>,</w:t>
      </w:r>
      <w:r w:rsidR="00260DA2" w:rsidRPr="00DC56C1">
        <w:rPr>
          <w:rFonts w:ascii="Times New Roman" w:hAnsi="Times New Roman"/>
        </w:rPr>
        <w:t xml:space="preserve"> and is likely to facilitate coordination and implementation of future rule of law activities with the Ministry of Justice and other line Ministries.  </w:t>
      </w:r>
    </w:p>
    <w:p w:rsidR="00217264" w:rsidRPr="00DC56C1" w:rsidRDefault="00217264" w:rsidP="00217264">
      <w:pPr>
        <w:jc w:val="both"/>
        <w:rPr>
          <w:rFonts w:ascii="Times New Roman" w:hAnsi="Times New Roman"/>
          <w:sz w:val="22"/>
          <w:szCs w:val="22"/>
        </w:rPr>
      </w:pPr>
    </w:p>
    <w:p w:rsidR="00217264" w:rsidRPr="00DC56C1" w:rsidRDefault="00217264" w:rsidP="006874D3">
      <w:pPr>
        <w:jc w:val="both"/>
        <w:rPr>
          <w:rFonts w:ascii="Times New Roman" w:hAnsi="Times New Roman"/>
          <w:sz w:val="22"/>
          <w:szCs w:val="22"/>
        </w:rPr>
      </w:pPr>
      <w:r w:rsidRPr="00DC56C1">
        <w:rPr>
          <w:rFonts w:ascii="Times New Roman" w:hAnsi="Times New Roman"/>
          <w:b/>
          <w:bCs/>
          <w:sz w:val="22"/>
          <w:szCs w:val="22"/>
        </w:rPr>
        <w:t>Output 2 – Improved access to justice for conflict-affected populations, especially survivors of SGBV, women and the displaced</w:t>
      </w:r>
      <w:r w:rsidRPr="00DC56C1">
        <w:rPr>
          <w:rFonts w:ascii="Times New Roman" w:hAnsi="Times New Roman"/>
          <w:sz w:val="22"/>
          <w:szCs w:val="22"/>
        </w:rPr>
        <w:t xml:space="preserve"> – UNDP has completed the recruitment of an Access to Justice expert from the region to support </w:t>
      </w:r>
      <w:r w:rsidR="00F1655C" w:rsidRPr="00DC56C1">
        <w:rPr>
          <w:rFonts w:ascii="Times New Roman" w:hAnsi="Times New Roman"/>
          <w:sz w:val="22"/>
          <w:szCs w:val="22"/>
        </w:rPr>
        <w:t>the</w:t>
      </w:r>
      <w:r w:rsidRPr="00DC56C1">
        <w:rPr>
          <w:rFonts w:ascii="Times New Roman" w:hAnsi="Times New Roman"/>
          <w:sz w:val="22"/>
          <w:szCs w:val="22"/>
        </w:rPr>
        <w:t xml:space="preserve"> implementation of </w:t>
      </w:r>
      <w:r w:rsidR="006874D3">
        <w:rPr>
          <w:rFonts w:ascii="Times New Roman" w:hAnsi="Times New Roman"/>
          <w:sz w:val="22"/>
          <w:szCs w:val="22"/>
        </w:rPr>
        <w:t xml:space="preserve">an </w:t>
      </w:r>
      <w:r w:rsidRPr="00DC56C1">
        <w:rPr>
          <w:rFonts w:ascii="Times New Roman" w:hAnsi="Times New Roman"/>
          <w:sz w:val="22"/>
          <w:szCs w:val="22"/>
        </w:rPr>
        <w:t xml:space="preserve">assessment </w:t>
      </w:r>
      <w:r w:rsidR="00F1655C" w:rsidRPr="00DC56C1">
        <w:rPr>
          <w:rFonts w:ascii="Times New Roman" w:hAnsi="Times New Roman"/>
          <w:sz w:val="22"/>
          <w:szCs w:val="22"/>
        </w:rPr>
        <w:t xml:space="preserve">initiative </w:t>
      </w:r>
      <w:r w:rsidRPr="00DC56C1">
        <w:rPr>
          <w:rFonts w:ascii="Times New Roman" w:hAnsi="Times New Roman"/>
          <w:sz w:val="22"/>
          <w:szCs w:val="22"/>
        </w:rPr>
        <w:t>in Benghazi</w:t>
      </w:r>
      <w:r w:rsidR="006874D3">
        <w:rPr>
          <w:rFonts w:ascii="Times New Roman" w:hAnsi="Times New Roman"/>
          <w:sz w:val="22"/>
          <w:szCs w:val="22"/>
        </w:rPr>
        <w:t xml:space="preserve"> of the situation and the needs of conflict-affected populations</w:t>
      </w:r>
      <w:r w:rsidRPr="00DC56C1">
        <w:rPr>
          <w:rFonts w:ascii="Times New Roman" w:hAnsi="Times New Roman"/>
          <w:sz w:val="22"/>
          <w:szCs w:val="22"/>
        </w:rPr>
        <w:t xml:space="preserve">.The Rule of Law team </w:t>
      </w:r>
      <w:r w:rsidR="00F1655C" w:rsidRPr="00DC56C1">
        <w:rPr>
          <w:rFonts w:ascii="Times New Roman" w:hAnsi="Times New Roman"/>
          <w:sz w:val="22"/>
          <w:szCs w:val="22"/>
        </w:rPr>
        <w:t>has</w:t>
      </w:r>
      <w:r w:rsidRPr="00DC56C1">
        <w:rPr>
          <w:rFonts w:ascii="Times New Roman" w:hAnsi="Times New Roman"/>
          <w:sz w:val="22"/>
          <w:szCs w:val="22"/>
        </w:rPr>
        <w:t xml:space="preserve"> </w:t>
      </w:r>
      <w:r w:rsidR="006874D3">
        <w:rPr>
          <w:rFonts w:ascii="Times New Roman" w:hAnsi="Times New Roman"/>
          <w:sz w:val="22"/>
          <w:szCs w:val="22"/>
        </w:rPr>
        <w:t xml:space="preserve">also </w:t>
      </w:r>
      <w:r w:rsidRPr="00DC56C1">
        <w:rPr>
          <w:rFonts w:ascii="Times New Roman" w:hAnsi="Times New Roman"/>
          <w:sz w:val="22"/>
          <w:szCs w:val="22"/>
        </w:rPr>
        <w:t xml:space="preserve">planned a scoping mission in Benghazi </w:t>
      </w:r>
      <w:r w:rsidR="006874D3">
        <w:rPr>
          <w:rFonts w:ascii="Times New Roman" w:hAnsi="Times New Roman"/>
          <w:sz w:val="22"/>
          <w:szCs w:val="22"/>
        </w:rPr>
        <w:t>to initiate the assessment</w:t>
      </w:r>
      <w:r w:rsidRPr="00DC56C1">
        <w:rPr>
          <w:rFonts w:ascii="Times New Roman" w:hAnsi="Times New Roman"/>
          <w:sz w:val="22"/>
          <w:szCs w:val="22"/>
        </w:rPr>
        <w:t xml:space="preserve">.    </w:t>
      </w:r>
    </w:p>
    <w:p w:rsidR="00AF4439" w:rsidRPr="00DC56C1" w:rsidRDefault="007B4B91" w:rsidP="00EF1DD9">
      <w:pPr>
        <w:pStyle w:val="ListParagraph"/>
        <w:spacing w:line="240" w:lineRule="auto"/>
        <w:ind w:left="0"/>
        <w:rPr>
          <w:rFonts w:ascii="Times New Roman" w:hAnsi="Times New Roman"/>
          <w:b/>
          <w:bCs/>
        </w:rPr>
      </w:pPr>
      <w:r w:rsidRPr="00DC56C1">
        <w:rPr>
          <w:rFonts w:ascii="Times New Roman" w:hAnsi="Times New Roman"/>
          <w:b/>
          <w:bCs/>
        </w:rPr>
        <w:t xml:space="preserve">  </w:t>
      </w:r>
    </w:p>
    <w:p w:rsidR="006C6EFA" w:rsidRPr="00DC56C1" w:rsidRDefault="00AF4439" w:rsidP="006874D3">
      <w:pPr>
        <w:pStyle w:val="ListParagraph"/>
        <w:spacing w:line="240" w:lineRule="auto"/>
        <w:ind w:left="0"/>
        <w:jc w:val="both"/>
        <w:rPr>
          <w:rFonts w:ascii="Times New Roman" w:hAnsi="Times New Roman"/>
          <w:b/>
          <w:bCs/>
        </w:rPr>
      </w:pPr>
      <w:r w:rsidRPr="00DC56C1">
        <w:rPr>
          <w:rFonts w:ascii="Times New Roman" w:hAnsi="Times New Roman"/>
          <w:b/>
          <w:bCs/>
        </w:rPr>
        <w:t xml:space="preserve">Output 3- </w:t>
      </w:r>
      <w:r w:rsidR="006C6EFA" w:rsidRPr="00DC56C1">
        <w:rPr>
          <w:rFonts w:ascii="Times New Roman" w:hAnsi="Times New Roman"/>
          <w:b/>
          <w:bCs/>
        </w:rPr>
        <w:t>that progress is achieved in implementation of transitional justice process including contributing to national consensus on TJ.</w:t>
      </w:r>
    </w:p>
    <w:p w:rsidR="006C6EFA" w:rsidRPr="00DC56C1" w:rsidRDefault="006C6EFA" w:rsidP="006C6EFA">
      <w:pPr>
        <w:pStyle w:val="ListParagraph"/>
        <w:spacing w:line="240" w:lineRule="auto"/>
        <w:ind w:left="360"/>
        <w:jc w:val="both"/>
        <w:rPr>
          <w:rFonts w:ascii="Times New Roman" w:hAnsi="Times New Roman"/>
        </w:rPr>
      </w:pPr>
    </w:p>
    <w:p w:rsidR="006C6EFA" w:rsidRPr="00DC56C1" w:rsidRDefault="006C6EFA" w:rsidP="00DB1814">
      <w:pPr>
        <w:pStyle w:val="ListParagraph"/>
        <w:spacing w:line="240" w:lineRule="auto"/>
        <w:ind w:left="0"/>
        <w:jc w:val="both"/>
        <w:rPr>
          <w:rFonts w:ascii="Times New Roman" w:hAnsi="Times New Roman"/>
        </w:rPr>
      </w:pPr>
      <w:r w:rsidRPr="00DC56C1">
        <w:rPr>
          <w:rFonts w:ascii="Times New Roman" w:hAnsi="Times New Roman"/>
          <w:b/>
          <w:bCs/>
        </w:rPr>
        <w:t>Indicator 1</w:t>
      </w:r>
      <w:r w:rsidR="00121801" w:rsidRPr="00DC56C1">
        <w:rPr>
          <w:rFonts w:ascii="Times New Roman" w:hAnsi="Times New Roman"/>
          <w:b/>
          <w:bCs/>
        </w:rPr>
        <w:t xml:space="preserve"> </w:t>
      </w:r>
      <w:r w:rsidRPr="00DC56C1">
        <w:rPr>
          <w:rFonts w:ascii="Times New Roman" w:hAnsi="Times New Roman"/>
          <w:b/>
          <w:bCs/>
        </w:rPr>
        <w:t>- relevant actors including civil society actively engaged with the TJ process</w:t>
      </w:r>
      <w:r w:rsidRPr="00DC56C1">
        <w:rPr>
          <w:rFonts w:ascii="Times New Roman" w:hAnsi="Times New Roman"/>
        </w:rPr>
        <w:t xml:space="preserve">. UNDP collaborated with </w:t>
      </w:r>
      <w:r w:rsidR="00066C94" w:rsidRPr="00DC56C1">
        <w:rPr>
          <w:rFonts w:ascii="Times New Roman" w:hAnsi="Times New Roman"/>
        </w:rPr>
        <w:t>UNSMIL to organize</w:t>
      </w:r>
      <w:r w:rsidRPr="00DC56C1">
        <w:rPr>
          <w:rFonts w:ascii="Times New Roman" w:hAnsi="Times New Roman"/>
        </w:rPr>
        <w:t xml:space="preserve"> a two-day conference (11-12 December) for civil society and government authorities</w:t>
      </w:r>
      <w:r w:rsidR="00155FCF" w:rsidRPr="00DC56C1">
        <w:rPr>
          <w:rFonts w:ascii="Times New Roman" w:hAnsi="Times New Roman"/>
        </w:rPr>
        <w:t xml:space="preserve"> to explore models of truth commissions and agree on a national agenda on the types of truth commissions </w:t>
      </w:r>
      <w:r w:rsidR="00E363A9" w:rsidRPr="00DC56C1">
        <w:rPr>
          <w:rFonts w:ascii="Times New Roman" w:hAnsi="Times New Roman"/>
        </w:rPr>
        <w:t>that could contribute to</w:t>
      </w:r>
      <w:r w:rsidR="00155FCF" w:rsidRPr="00DC56C1">
        <w:rPr>
          <w:rFonts w:ascii="Times New Roman" w:hAnsi="Times New Roman"/>
        </w:rPr>
        <w:t xml:space="preserve"> </w:t>
      </w:r>
      <w:r w:rsidR="009D4FAC" w:rsidRPr="00DC56C1">
        <w:rPr>
          <w:rFonts w:ascii="Times New Roman" w:hAnsi="Times New Roman"/>
        </w:rPr>
        <w:t>achieving</w:t>
      </w:r>
      <w:r w:rsidR="00155FCF" w:rsidRPr="00DC56C1">
        <w:rPr>
          <w:rFonts w:ascii="Times New Roman" w:hAnsi="Times New Roman"/>
        </w:rPr>
        <w:t xml:space="preserve"> national reconciliation.Participants produced a set of working guidelines</w:t>
      </w:r>
      <w:r w:rsidR="00A2168F" w:rsidRPr="00DC56C1">
        <w:rPr>
          <w:rFonts w:ascii="Times New Roman" w:hAnsi="Times New Roman"/>
        </w:rPr>
        <w:t xml:space="preserve"> and recommendations</w:t>
      </w:r>
      <w:r w:rsidR="00155FCF" w:rsidRPr="00DC56C1">
        <w:rPr>
          <w:rFonts w:ascii="Times New Roman" w:hAnsi="Times New Roman"/>
        </w:rPr>
        <w:t xml:space="preserve"> for the national agenda and for</w:t>
      </w:r>
      <w:r w:rsidR="00A2168F" w:rsidRPr="00DC56C1">
        <w:rPr>
          <w:rFonts w:ascii="Times New Roman" w:hAnsi="Times New Roman"/>
        </w:rPr>
        <w:t xml:space="preserve"> CSOs to utilize for their own future TJ events.</w:t>
      </w:r>
      <w:r w:rsidR="00155FCF" w:rsidRPr="00DC56C1">
        <w:rPr>
          <w:rFonts w:ascii="Times New Roman" w:hAnsi="Times New Roman"/>
        </w:rPr>
        <w:t xml:space="preserve">    </w:t>
      </w:r>
      <w:r w:rsidRPr="00DC56C1">
        <w:rPr>
          <w:rFonts w:ascii="Times New Roman" w:hAnsi="Times New Roman"/>
        </w:rPr>
        <w:t xml:space="preserve">   </w:t>
      </w:r>
    </w:p>
    <w:p w:rsidR="006C6EFA" w:rsidRPr="00DC56C1" w:rsidRDefault="006C6EFA" w:rsidP="006C6EFA">
      <w:pPr>
        <w:pStyle w:val="ListParagraph"/>
        <w:spacing w:line="240" w:lineRule="auto"/>
        <w:ind w:left="360"/>
        <w:jc w:val="both"/>
        <w:rPr>
          <w:rFonts w:ascii="Times New Roman" w:hAnsi="Times New Roman"/>
        </w:rPr>
      </w:pPr>
      <w:r w:rsidRPr="00DC56C1">
        <w:rPr>
          <w:rFonts w:ascii="Times New Roman" w:hAnsi="Times New Roman"/>
        </w:rPr>
        <w:t xml:space="preserve">   </w:t>
      </w:r>
    </w:p>
    <w:p w:rsidR="00A2168F" w:rsidRPr="00DC56C1" w:rsidRDefault="00A2168F" w:rsidP="009D4FAC">
      <w:pPr>
        <w:pStyle w:val="ListParagraph"/>
        <w:spacing w:line="240" w:lineRule="auto"/>
        <w:ind w:left="0"/>
        <w:jc w:val="both"/>
        <w:rPr>
          <w:rFonts w:ascii="Times New Roman" w:hAnsi="Times New Roman"/>
        </w:rPr>
      </w:pPr>
      <w:r w:rsidRPr="00DC56C1">
        <w:rPr>
          <w:rFonts w:ascii="Times New Roman" w:hAnsi="Times New Roman"/>
          <w:b/>
          <w:bCs/>
        </w:rPr>
        <w:t>Indicator 2</w:t>
      </w:r>
      <w:r w:rsidR="00121801" w:rsidRPr="00DC56C1">
        <w:rPr>
          <w:rFonts w:ascii="Times New Roman" w:hAnsi="Times New Roman"/>
          <w:b/>
          <w:bCs/>
        </w:rPr>
        <w:t xml:space="preserve"> </w:t>
      </w:r>
      <w:r w:rsidRPr="00DC56C1">
        <w:rPr>
          <w:rFonts w:ascii="Times New Roman" w:hAnsi="Times New Roman"/>
          <w:b/>
          <w:bCs/>
        </w:rPr>
        <w:t>-The Truth</w:t>
      </w:r>
      <w:r w:rsidR="00121801" w:rsidRPr="00DC56C1">
        <w:rPr>
          <w:rFonts w:ascii="Times New Roman" w:hAnsi="Times New Roman"/>
          <w:b/>
          <w:bCs/>
        </w:rPr>
        <w:t>-Seeking</w:t>
      </w:r>
      <w:r w:rsidRPr="00DC56C1">
        <w:rPr>
          <w:rFonts w:ascii="Times New Roman" w:hAnsi="Times New Roman"/>
          <w:b/>
          <w:bCs/>
        </w:rPr>
        <w:t xml:space="preserve"> and Reconciliation Commission</w:t>
      </w:r>
      <w:r w:rsidR="00121801" w:rsidRPr="00DC56C1">
        <w:rPr>
          <w:rFonts w:ascii="Times New Roman" w:hAnsi="Times New Roman"/>
          <w:b/>
          <w:bCs/>
        </w:rPr>
        <w:t xml:space="preserve"> </w:t>
      </w:r>
      <w:r w:rsidRPr="00DC56C1">
        <w:rPr>
          <w:rFonts w:ascii="Times New Roman" w:hAnsi="Times New Roman"/>
          <w:b/>
          <w:bCs/>
        </w:rPr>
        <w:t>is operational and implementing national reconciliation mechanisms.</w:t>
      </w:r>
      <w:r w:rsidRPr="00DC56C1">
        <w:rPr>
          <w:rFonts w:ascii="Times New Roman" w:hAnsi="Times New Roman"/>
        </w:rPr>
        <w:t xml:space="preserve"> </w:t>
      </w:r>
      <w:r w:rsidR="00121801" w:rsidRPr="00DC56C1">
        <w:rPr>
          <w:rFonts w:ascii="Times New Roman" w:hAnsi="Times New Roman"/>
        </w:rPr>
        <w:t xml:space="preserve"> </w:t>
      </w:r>
      <w:r w:rsidRPr="00DC56C1">
        <w:rPr>
          <w:rFonts w:ascii="Times New Roman" w:hAnsi="Times New Roman"/>
        </w:rPr>
        <w:t>UNDP collaborated with UNSMI</w:t>
      </w:r>
      <w:r w:rsidR="009D4FAC">
        <w:rPr>
          <w:rFonts w:ascii="Times New Roman" w:hAnsi="Times New Roman"/>
        </w:rPr>
        <w:t>L</w:t>
      </w:r>
      <w:r w:rsidRPr="00DC56C1">
        <w:rPr>
          <w:rFonts w:ascii="Times New Roman" w:hAnsi="Times New Roman"/>
        </w:rPr>
        <w:t xml:space="preserve"> to organize a two-day workshop</w:t>
      </w:r>
      <w:r w:rsidR="002F67F0" w:rsidRPr="00DC56C1">
        <w:rPr>
          <w:rFonts w:ascii="Times New Roman" w:hAnsi="Times New Roman"/>
        </w:rPr>
        <w:t xml:space="preserve"> (09-10 Dec 2012)</w:t>
      </w:r>
      <w:r w:rsidR="00121801" w:rsidRPr="00DC56C1">
        <w:rPr>
          <w:rFonts w:ascii="Times New Roman" w:hAnsi="Times New Roman"/>
        </w:rPr>
        <w:t xml:space="preserve"> for the Commissioners and their support/secretariat staff on implementation of the</w:t>
      </w:r>
      <w:r w:rsidR="00B854F4" w:rsidRPr="00DC56C1">
        <w:rPr>
          <w:rFonts w:ascii="Times New Roman" w:hAnsi="Times New Roman"/>
        </w:rPr>
        <w:t xml:space="preserve"> mandate of the</w:t>
      </w:r>
      <w:r w:rsidR="00121801" w:rsidRPr="00DC56C1">
        <w:rPr>
          <w:rFonts w:ascii="Times New Roman" w:hAnsi="Times New Roman"/>
        </w:rPr>
        <w:t xml:space="preserve"> TSRC</w:t>
      </w:r>
      <w:r w:rsidR="00B854F4" w:rsidRPr="00DC56C1">
        <w:rPr>
          <w:rFonts w:ascii="Times New Roman" w:hAnsi="Times New Roman"/>
        </w:rPr>
        <w:t xml:space="preserve">, amendments to the TJ law and establishing a workplan to commence the work of the TSRC. The Ministry of Justice has since implemented the recommendations from the workshop </w:t>
      </w:r>
      <w:r w:rsidR="0057315B" w:rsidRPr="00DC56C1">
        <w:rPr>
          <w:rFonts w:ascii="Times New Roman" w:hAnsi="Times New Roman"/>
        </w:rPr>
        <w:t>in relation to amending</w:t>
      </w:r>
      <w:r w:rsidR="00AF4439" w:rsidRPr="00DC56C1">
        <w:rPr>
          <w:rFonts w:ascii="Times New Roman" w:hAnsi="Times New Roman"/>
        </w:rPr>
        <w:t xml:space="preserve"> and improving </w:t>
      </w:r>
      <w:r w:rsidR="0057315B" w:rsidRPr="00DC56C1">
        <w:rPr>
          <w:rFonts w:ascii="Times New Roman" w:hAnsi="Times New Roman"/>
        </w:rPr>
        <w:t xml:space="preserve"> provisions of the TJ </w:t>
      </w:r>
      <w:r w:rsidR="00AF4439" w:rsidRPr="00DC56C1">
        <w:rPr>
          <w:rFonts w:ascii="Times New Roman" w:hAnsi="Times New Roman"/>
        </w:rPr>
        <w:t xml:space="preserve"> </w:t>
      </w:r>
      <w:r w:rsidR="0057315B" w:rsidRPr="00DC56C1">
        <w:rPr>
          <w:rFonts w:ascii="Times New Roman" w:hAnsi="Times New Roman"/>
        </w:rPr>
        <w:t>law and changing the membership of the Commission to reflect a more multi-disciplinary approach and composition.The</w:t>
      </w:r>
      <w:r w:rsidR="00B854F4" w:rsidRPr="00DC56C1">
        <w:rPr>
          <w:rFonts w:ascii="Times New Roman" w:hAnsi="Times New Roman"/>
        </w:rPr>
        <w:t xml:space="preserve"> TSRC has started to function on key aspects of its mandate after the workshop</w:t>
      </w:r>
      <w:r w:rsidR="0057315B" w:rsidRPr="00DC56C1">
        <w:rPr>
          <w:rFonts w:ascii="Times New Roman" w:hAnsi="Times New Roman"/>
        </w:rPr>
        <w:t xml:space="preserve">, establishing an information /outreach plan, and making public calls for information pertaining to past human rights abuses and are currently examining several cases received from the public. </w:t>
      </w:r>
      <w:r w:rsidR="00AF4439" w:rsidRPr="00DC56C1">
        <w:rPr>
          <w:rFonts w:ascii="Times New Roman" w:hAnsi="Times New Roman"/>
        </w:rPr>
        <w:t xml:space="preserve">The workshop has contributed to enhancing the understanding of the TSRC on effective operationalization of its mandate and to </w:t>
      </w:r>
      <w:r w:rsidR="003C175D" w:rsidRPr="00DC56C1">
        <w:rPr>
          <w:rFonts w:ascii="Times New Roman" w:hAnsi="Times New Roman"/>
        </w:rPr>
        <w:t xml:space="preserve">assist the Government to </w:t>
      </w:r>
      <w:r w:rsidR="00AF4439" w:rsidRPr="00DC56C1">
        <w:rPr>
          <w:rFonts w:ascii="Times New Roman" w:hAnsi="Times New Roman"/>
        </w:rPr>
        <w:t xml:space="preserve">integrate international standards and best practices in the TJ law. </w:t>
      </w:r>
      <w:r w:rsidR="00B854F4" w:rsidRPr="00DC56C1">
        <w:rPr>
          <w:rFonts w:ascii="Times New Roman" w:hAnsi="Times New Roman"/>
        </w:rPr>
        <w:t xml:space="preserve">    </w:t>
      </w:r>
    </w:p>
    <w:p w:rsidR="00EF1DD9" w:rsidRPr="00DC56C1" w:rsidRDefault="00EF1DD9" w:rsidP="00C51355">
      <w:pPr>
        <w:jc w:val="both"/>
        <w:rPr>
          <w:rFonts w:ascii="Times New Roman" w:hAnsi="Times New Roman"/>
          <w:sz w:val="22"/>
          <w:szCs w:val="22"/>
        </w:rPr>
      </w:pPr>
    </w:p>
    <w:p w:rsidR="00F215F9" w:rsidRPr="00DC56C1" w:rsidRDefault="00F215F9" w:rsidP="00C51355">
      <w:pPr>
        <w:jc w:val="both"/>
        <w:rPr>
          <w:rFonts w:ascii="Times New Roman" w:hAnsi="Times New Roman"/>
          <w:sz w:val="22"/>
          <w:szCs w:val="22"/>
        </w:rPr>
      </w:pPr>
    </w:p>
    <w:p w:rsidR="00AC518C" w:rsidRPr="00DC56C1" w:rsidRDefault="004E5E25" w:rsidP="004E5E25">
      <w:pPr>
        <w:pStyle w:val="Heading1"/>
        <w:shd w:val="clear" w:color="auto" w:fill="FFC000"/>
        <w:jc w:val="left"/>
        <w:rPr>
          <w:rFonts w:ascii="Times New Roman" w:hAnsi="Times New Roman"/>
          <w:color w:val="auto"/>
          <w:sz w:val="22"/>
          <w:szCs w:val="22"/>
        </w:rPr>
      </w:pPr>
      <w:r w:rsidRPr="00DC56C1">
        <w:rPr>
          <w:rFonts w:ascii="Times New Roman" w:hAnsi="Times New Roman"/>
          <w:color w:val="FFFFFF"/>
          <w:sz w:val="22"/>
          <w:szCs w:val="22"/>
          <w:shd w:val="clear" w:color="auto" w:fill="FFC000"/>
        </w:rPr>
        <w:t>Lessons learned and implementation challenges</w:t>
      </w:r>
      <w:r w:rsidRPr="00DC56C1">
        <w:rPr>
          <w:rFonts w:ascii="Times New Roman" w:hAnsi="Times New Roman"/>
          <w:color w:val="FFFFFF"/>
          <w:sz w:val="22"/>
          <w:szCs w:val="22"/>
        </w:rPr>
        <w:t xml:space="preserve"> </w:t>
      </w:r>
    </w:p>
    <w:p w:rsidR="00841D1A" w:rsidRPr="00DC56C1" w:rsidRDefault="00C51355" w:rsidP="00841D1A">
      <w:pPr>
        <w:pStyle w:val="Caption1"/>
        <w:rPr>
          <w:rFonts w:ascii="Times New Roman" w:hAnsi="Times New Roman"/>
          <w:b/>
          <w:i w:val="0"/>
          <w:sz w:val="22"/>
          <w:szCs w:val="22"/>
        </w:rPr>
      </w:pPr>
      <w:r w:rsidRPr="00DC56C1">
        <w:rPr>
          <w:rFonts w:ascii="Times New Roman" w:hAnsi="Times New Roman"/>
          <w:b/>
          <w:i w:val="0"/>
          <w:sz w:val="22"/>
          <w:szCs w:val="22"/>
        </w:rPr>
        <w:br/>
      </w:r>
      <w:r w:rsidR="00841D1A" w:rsidRPr="00DC56C1">
        <w:rPr>
          <w:rFonts w:ascii="Times New Roman" w:hAnsi="Times New Roman"/>
          <w:b/>
          <w:i w:val="0"/>
          <w:sz w:val="22"/>
          <w:szCs w:val="22"/>
        </w:rPr>
        <w:t xml:space="preserve">Overall guidance: </w:t>
      </w:r>
    </w:p>
    <w:p w:rsidR="001621BC" w:rsidRPr="00DC56C1" w:rsidRDefault="001621BC" w:rsidP="001621BC">
      <w:pPr>
        <w:rPr>
          <w:rFonts w:ascii="Times New Roman" w:hAnsi="Times New Roman"/>
          <w:sz w:val="22"/>
          <w:szCs w:val="22"/>
        </w:rPr>
      </w:pPr>
      <w:r w:rsidRPr="00DC56C1">
        <w:rPr>
          <w:rFonts w:ascii="Times New Roman" w:hAnsi="Times New Roman"/>
          <w:sz w:val="22"/>
          <w:szCs w:val="22"/>
        </w:rPr>
        <w:t xml:space="preserve">The project was implemented after a delay in recruitment of its Project Manager who commenced duties in mid October 2012. UNDP was also engaged in extensive drafting and reviewing of the project document and consultations with the Ministry of Justice and other UN partners to coordinate provision of rule of law assistance.Recent coordination strategies </w:t>
      </w:r>
      <w:r w:rsidR="00D93AB4" w:rsidRPr="00DC56C1">
        <w:rPr>
          <w:rFonts w:ascii="Times New Roman" w:hAnsi="Times New Roman"/>
          <w:sz w:val="22"/>
          <w:szCs w:val="22"/>
        </w:rPr>
        <w:t>have also</w:t>
      </w:r>
      <w:r w:rsidRPr="00DC56C1">
        <w:rPr>
          <w:rFonts w:ascii="Times New Roman" w:hAnsi="Times New Roman"/>
          <w:sz w:val="22"/>
          <w:szCs w:val="22"/>
        </w:rPr>
        <w:t xml:space="preserve"> led to delays in implementation as the UN and the Ministry of </w:t>
      </w:r>
      <w:r w:rsidR="00D93AB4" w:rsidRPr="00DC56C1">
        <w:rPr>
          <w:rFonts w:ascii="Times New Roman" w:hAnsi="Times New Roman"/>
          <w:sz w:val="22"/>
          <w:szCs w:val="22"/>
        </w:rPr>
        <w:t>Justice struggled</w:t>
      </w:r>
      <w:r w:rsidRPr="00DC56C1">
        <w:rPr>
          <w:rFonts w:ascii="Times New Roman" w:hAnsi="Times New Roman"/>
          <w:sz w:val="22"/>
          <w:szCs w:val="22"/>
        </w:rPr>
        <w:t xml:space="preserve"> to identity priorities and remove overlaps among various actors working on rule of law projects.     </w:t>
      </w:r>
    </w:p>
    <w:p w:rsidR="001621BC" w:rsidRPr="00DC56C1" w:rsidRDefault="001621BC" w:rsidP="009C287C">
      <w:pPr>
        <w:rPr>
          <w:rFonts w:ascii="Times New Roman" w:hAnsi="Times New Roman"/>
          <w:sz w:val="22"/>
          <w:szCs w:val="22"/>
        </w:rPr>
      </w:pPr>
    </w:p>
    <w:p w:rsidR="001621BC" w:rsidRPr="00DC56C1" w:rsidRDefault="001621BC" w:rsidP="00D93AB4">
      <w:pPr>
        <w:rPr>
          <w:rFonts w:ascii="Times New Roman" w:hAnsi="Times New Roman"/>
          <w:sz w:val="22"/>
          <w:szCs w:val="22"/>
        </w:rPr>
      </w:pPr>
      <w:r w:rsidRPr="00DC56C1">
        <w:rPr>
          <w:rFonts w:ascii="Times New Roman" w:hAnsi="Times New Roman"/>
          <w:sz w:val="22"/>
          <w:szCs w:val="22"/>
        </w:rPr>
        <w:t xml:space="preserve">Implementation has </w:t>
      </w:r>
      <w:r w:rsidR="00D93AB4" w:rsidRPr="00DC56C1">
        <w:rPr>
          <w:rFonts w:ascii="Times New Roman" w:hAnsi="Times New Roman"/>
          <w:sz w:val="22"/>
          <w:szCs w:val="22"/>
        </w:rPr>
        <w:t xml:space="preserve">been affected by </w:t>
      </w:r>
      <w:r w:rsidRPr="00DC56C1">
        <w:rPr>
          <w:rFonts w:ascii="Times New Roman" w:hAnsi="Times New Roman"/>
          <w:sz w:val="22"/>
          <w:szCs w:val="22"/>
        </w:rPr>
        <w:t>operational</w:t>
      </w:r>
      <w:r w:rsidR="00D93AB4" w:rsidRPr="00DC56C1">
        <w:rPr>
          <w:rFonts w:ascii="Times New Roman" w:hAnsi="Times New Roman"/>
          <w:sz w:val="22"/>
          <w:szCs w:val="22"/>
        </w:rPr>
        <w:t xml:space="preserve"> deficits</w:t>
      </w:r>
      <w:r w:rsidRPr="00DC56C1">
        <w:rPr>
          <w:rFonts w:ascii="Times New Roman" w:hAnsi="Times New Roman"/>
          <w:sz w:val="22"/>
          <w:szCs w:val="22"/>
        </w:rPr>
        <w:t xml:space="preserve"> within UNDP CO as the </w:t>
      </w:r>
      <w:r w:rsidR="00D93AB4" w:rsidRPr="00DC56C1">
        <w:rPr>
          <w:rFonts w:ascii="Times New Roman" w:hAnsi="Times New Roman"/>
          <w:sz w:val="22"/>
          <w:szCs w:val="22"/>
        </w:rPr>
        <w:t>CO tries to meet turn</w:t>
      </w:r>
      <w:r w:rsidRPr="00DC56C1">
        <w:rPr>
          <w:rFonts w:ascii="Times New Roman" w:hAnsi="Times New Roman"/>
          <w:sz w:val="22"/>
          <w:szCs w:val="22"/>
        </w:rPr>
        <w:t xml:space="preserve">-around deadlines in procurement of services and </w:t>
      </w:r>
      <w:r w:rsidR="00D93AB4" w:rsidRPr="00DC56C1">
        <w:rPr>
          <w:rFonts w:ascii="Times New Roman" w:hAnsi="Times New Roman"/>
          <w:sz w:val="22"/>
          <w:szCs w:val="22"/>
        </w:rPr>
        <w:t>goods and</w:t>
      </w:r>
      <w:r w:rsidRPr="00DC56C1">
        <w:rPr>
          <w:rFonts w:ascii="Times New Roman" w:hAnsi="Times New Roman"/>
          <w:sz w:val="22"/>
          <w:szCs w:val="22"/>
        </w:rPr>
        <w:t xml:space="preserve"> to provide effective support to ongoing and emerging projects</w:t>
      </w:r>
      <w:r w:rsidR="00D93AB4" w:rsidRPr="00DC56C1">
        <w:rPr>
          <w:rFonts w:ascii="Times New Roman" w:hAnsi="Times New Roman"/>
          <w:sz w:val="22"/>
          <w:szCs w:val="22"/>
        </w:rPr>
        <w:t xml:space="preserve"> with its limited operations staff and capacity</w:t>
      </w:r>
      <w:r w:rsidRPr="00DC56C1">
        <w:rPr>
          <w:rFonts w:ascii="Times New Roman" w:hAnsi="Times New Roman"/>
          <w:sz w:val="22"/>
          <w:szCs w:val="22"/>
        </w:rPr>
        <w:t xml:space="preserve">. There are also delays in recruitment of support </w:t>
      </w:r>
      <w:r w:rsidR="008C039B" w:rsidRPr="00DC56C1">
        <w:rPr>
          <w:rFonts w:ascii="Times New Roman" w:hAnsi="Times New Roman"/>
          <w:sz w:val="22"/>
          <w:szCs w:val="22"/>
        </w:rPr>
        <w:t>staff for</w:t>
      </w:r>
      <w:r w:rsidRPr="00DC56C1">
        <w:rPr>
          <w:rFonts w:ascii="Times New Roman" w:hAnsi="Times New Roman"/>
          <w:sz w:val="22"/>
          <w:szCs w:val="22"/>
        </w:rPr>
        <w:t xml:space="preserve"> the Rule of law project team, which </w:t>
      </w:r>
      <w:r w:rsidR="001301AC" w:rsidRPr="00DC56C1">
        <w:rPr>
          <w:rFonts w:ascii="Times New Roman" w:hAnsi="Times New Roman"/>
          <w:sz w:val="22"/>
          <w:szCs w:val="22"/>
        </w:rPr>
        <w:t>have led</w:t>
      </w:r>
      <w:r w:rsidRPr="00DC56C1">
        <w:rPr>
          <w:rFonts w:ascii="Times New Roman" w:hAnsi="Times New Roman"/>
          <w:sz w:val="22"/>
          <w:szCs w:val="22"/>
        </w:rPr>
        <w:t xml:space="preserve"> to temporary solutions of recruiting less than qualified temporary project assistants who are not familiar with UNDP </w:t>
      </w:r>
      <w:r w:rsidR="001301AC" w:rsidRPr="00DC56C1">
        <w:rPr>
          <w:rFonts w:ascii="Times New Roman" w:hAnsi="Times New Roman"/>
          <w:sz w:val="22"/>
          <w:szCs w:val="22"/>
        </w:rPr>
        <w:t>rules and</w:t>
      </w:r>
      <w:r w:rsidRPr="00DC56C1">
        <w:rPr>
          <w:rFonts w:ascii="Times New Roman" w:hAnsi="Times New Roman"/>
          <w:sz w:val="22"/>
          <w:szCs w:val="22"/>
        </w:rPr>
        <w:t xml:space="preserve"> operations.  </w:t>
      </w:r>
    </w:p>
    <w:p w:rsidR="008C039B" w:rsidRPr="00DC56C1" w:rsidRDefault="008C039B" w:rsidP="001621BC">
      <w:pPr>
        <w:rPr>
          <w:rFonts w:ascii="Times New Roman" w:hAnsi="Times New Roman"/>
          <w:sz w:val="22"/>
          <w:szCs w:val="22"/>
        </w:rPr>
      </w:pPr>
    </w:p>
    <w:p w:rsidR="001621BC" w:rsidRPr="00DC56C1" w:rsidRDefault="008C039B" w:rsidP="005963D2">
      <w:pPr>
        <w:rPr>
          <w:rFonts w:ascii="Times New Roman" w:hAnsi="Times New Roman"/>
          <w:sz w:val="22"/>
          <w:szCs w:val="22"/>
        </w:rPr>
      </w:pPr>
      <w:r w:rsidRPr="00DC56C1">
        <w:rPr>
          <w:rFonts w:ascii="Times New Roman" w:hAnsi="Times New Roman"/>
          <w:sz w:val="22"/>
          <w:szCs w:val="22"/>
        </w:rPr>
        <w:t>The start-up activities – recruitment of Project Manager and organization o</w:t>
      </w:r>
      <w:r w:rsidR="00D93AB4" w:rsidRPr="00DC56C1">
        <w:rPr>
          <w:rFonts w:ascii="Times New Roman" w:hAnsi="Times New Roman"/>
          <w:sz w:val="22"/>
          <w:szCs w:val="22"/>
        </w:rPr>
        <w:t>f</w:t>
      </w:r>
      <w:r w:rsidRPr="00DC56C1">
        <w:rPr>
          <w:rFonts w:ascii="Times New Roman" w:hAnsi="Times New Roman"/>
          <w:sz w:val="22"/>
          <w:szCs w:val="22"/>
        </w:rPr>
        <w:t xml:space="preserve"> activities in collaboration with UN partners have had a positive impact </w:t>
      </w:r>
      <w:r w:rsidR="00D93AB4" w:rsidRPr="00DC56C1">
        <w:rPr>
          <w:rFonts w:ascii="Times New Roman" w:hAnsi="Times New Roman"/>
          <w:sz w:val="22"/>
          <w:szCs w:val="22"/>
        </w:rPr>
        <w:t xml:space="preserve">on improving </w:t>
      </w:r>
      <w:r w:rsidRPr="00DC56C1">
        <w:rPr>
          <w:rFonts w:ascii="Times New Roman" w:hAnsi="Times New Roman"/>
          <w:sz w:val="22"/>
          <w:szCs w:val="22"/>
        </w:rPr>
        <w:t xml:space="preserve">relations with the Ministry of Justice and UN partners. It was imperative that the UN </w:t>
      </w:r>
      <w:r w:rsidR="00D93AB4" w:rsidRPr="00DC56C1">
        <w:rPr>
          <w:rFonts w:ascii="Times New Roman" w:hAnsi="Times New Roman"/>
          <w:sz w:val="22"/>
          <w:szCs w:val="22"/>
        </w:rPr>
        <w:t xml:space="preserve">presents </w:t>
      </w:r>
      <w:r w:rsidR="00276FF4" w:rsidRPr="00DC56C1">
        <w:rPr>
          <w:rFonts w:ascii="Times New Roman" w:hAnsi="Times New Roman"/>
          <w:sz w:val="22"/>
          <w:szCs w:val="22"/>
        </w:rPr>
        <w:t>a “</w:t>
      </w:r>
      <w:r w:rsidRPr="00DC56C1">
        <w:rPr>
          <w:rFonts w:ascii="Times New Roman" w:hAnsi="Times New Roman"/>
          <w:sz w:val="22"/>
          <w:szCs w:val="22"/>
        </w:rPr>
        <w:t>One UN</w:t>
      </w:r>
      <w:r w:rsidR="00276FF4" w:rsidRPr="00DC56C1">
        <w:rPr>
          <w:rFonts w:ascii="Times New Roman" w:hAnsi="Times New Roman"/>
          <w:sz w:val="22"/>
          <w:szCs w:val="22"/>
        </w:rPr>
        <w:t>” approach</w:t>
      </w:r>
      <w:r w:rsidRPr="00DC56C1">
        <w:rPr>
          <w:rFonts w:ascii="Times New Roman" w:hAnsi="Times New Roman"/>
          <w:sz w:val="22"/>
          <w:szCs w:val="22"/>
        </w:rPr>
        <w:t xml:space="preserve"> to its rule of law activities </w:t>
      </w:r>
      <w:r w:rsidR="005963D2">
        <w:rPr>
          <w:rFonts w:ascii="Times New Roman" w:hAnsi="Times New Roman"/>
          <w:sz w:val="22"/>
          <w:szCs w:val="22"/>
        </w:rPr>
        <w:t>which</w:t>
      </w:r>
      <w:r w:rsidR="009D4FAC">
        <w:rPr>
          <w:rFonts w:ascii="Times New Roman" w:hAnsi="Times New Roman"/>
          <w:sz w:val="22"/>
          <w:szCs w:val="22"/>
        </w:rPr>
        <w:t xml:space="preserve"> will</w:t>
      </w:r>
      <w:r w:rsidRPr="00DC56C1">
        <w:rPr>
          <w:rFonts w:ascii="Times New Roman" w:hAnsi="Times New Roman"/>
          <w:sz w:val="22"/>
          <w:szCs w:val="22"/>
        </w:rPr>
        <w:t xml:space="preserve"> facilitate the acceptance </w:t>
      </w:r>
      <w:r w:rsidR="00276FF4" w:rsidRPr="00DC56C1">
        <w:rPr>
          <w:rFonts w:ascii="Times New Roman" w:hAnsi="Times New Roman"/>
          <w:sz w:val="22"/>
          <w:szCs w:val="22"/>
        </w:rPr>
        <w:t>of UNDP’s rule</w:t>
      </w:r>
      <w:r w:rsidRPr="00DC56C1">
        <w:rPr>
          <w:rFonts w:ascii="Times New Roman" w:hAnsi="Times New Roman"/>
          <w:sz w:val="22"/>
          <w:szCs w:val="22"/>
        </w:rPr>
        <w:t xml:space="preserve"> of law project document by the Ministry of Justice</w:t>
      </w:r>
      <w:r w:rsidR="009D4FAC">
        <w:rPr>
          <w:rFonts w:ascii="Times New Roman" w:hAnsi="Times New Roman"/>
          <w:sz w:val="22"/>
          <w:szCs w:val="22"/>
        </w:rPr>
        <w:t>,</w:t>
      </w:r>
      <w:r w:rsidR="008431FE" w:rsidRPr="00DC56C1">
        <w:rPr>
          <w:rFonts w:ascii="Times New Roman" w:hAnsi="Times New Roman"/>
          <w:sz w:val="22"/>
          <w:szCs w:val="22"/>
        </w:rPr>
        <w:t xml:space="preserve"> as the MOJ is keen to resolve </w:t>
      </w:r>
      <w:r w:rsidR="00276FF4" w:rsidRPr="00DC56C1">
        <w:rPr>
          <w:rFonts w:ascii="Times New Roman" w:hAnsi="Times New Roman"/>
          <w:sz w:val="22"/>
          <w:szCs w:val="22"/>
        </w:rPr>
        <w:t>overlapping projects</w:t>
      </w:r>
      <w:r w:rsidR="008431FE" w:rsidRPr="00DC56C1">
        <w:rPr>
          <w:rFonts w:ascii="Times New Roman" w:hAnsi="Times New Roman"/>
          <w:sz w:val="22"/>
          <w:szCs w:val="22"/>
        </w:rPr>
        <w:t xml:space="preserve"> and</w:t>
      </w:r>
      <w:r w:rsidR="001301AC" w:rsidRPr="00DC56C1">
        <w:rPr>
          <w:rFonts w:ascii="Times New Roman" w:hAnsi="Times New Roman"/>
          <w:sz w:val="22"/>
          <w:szCs w:val="22"/>
        </w:rPr>
        <w:t xml:space="preserve"> coordinate rule of law activities among international actors.  </w:t>
      </w:r>
      <w:r w:rsidR="008431FE" w:rsidRPr="00DC56C1">
        <w:rPr>
          <w:rFonts w:ascii="Times New Roman" w:hAnsi="Times New Roman"/>
          <w:sz w:val="22"/>
          <w:szCs w:val="22"/>
        </w:rPr>
        <w:t xml:space="preserve">     </w:t>
      </w:r>
      <w:r w:rsidRPr="00DC56C1">
        <w:rPr>
          <w:rFonts w:ascii="Times New Roman" w:hAnsi="Times New Roman"/>
          <w:sz w:val="22"/>
          <w:szCs w:val="22"/>
        </w:rPr>
        <w:t xml:space="preserve">  </w:t>
      </w:r>
    </w:p>
    <w:p w:rsidR="001621BC" w:rsidRPr="00DC56C1" w:rsidRDefault="001621BC" w:rsidP="009C287C">
      <w:pPr>
        <w:rPr>
          <w:rFonts w:ascii="Times New Roman" w:hAnsi="Times New Roman"/>
          <w:sz w:val="22"/>
          <w:szCs w:val="22"/>
        </w:rPr>
      </w:pPr>
    </w:p>
    <w:p w:rsidR="009C287C" w:rsidRPr="00DC56C1" w:rsidRDefault="004E5E25" w:rsidP="004E5E25">
      <w:pPr>
        <w:pStyle w:val="Heading1"/>
        <w:shd w:val="clear" w:color="auto" w:fill="FFC000"/>
        <w:jc w:val="left"/>
        <w:rPr>
          <w:rFonts w:ascii="Times New Roman" w:hAnsi="Times New Roman"/>
          <w:color w:val="FFFFFF"/>
          <w:sz w:val="22"/>
          <w:szCs w:val="22"/>
        </w:rPr>
      </w:pPr>
      <w:r w:rsidRPr="00DC56C1">
        <w:rPr>
          <w:rFonts w:ascii="Times New Roman" w:hAnsi="Times New Roman"/>
          <w:color w:val="FFFFFF"/>
          <w:sz w:val="22"/>
          <w:szCs w:val="22"/>
        </w:rPr>
        <w:t xml:space="preserve">Next steps </w:t>
      </w:r>
    </w:p>
    <w:p w:rsidR="00AC518C" w:rsidRPr="00DC56C1" w:rsidRDefault="004E5E25" w:rsidP="009C287C">
      <w:pPr>
        <w:pStyle w:val="Caption1"/>
        <w:rPr>
          <w:rFonts w:ascii="Times New Roman" w:hAnsi="Times New Roman"/>
          <w:b/>
          <w:i w:val="0"/>
          <w:sz w:val="22"/>
          <w:szCs w:val="22"/>
        </w:rPr>
      </w:pPr>
      <w:r w:rsidRPr="00DC56C1">
        <w:rPr>
          <w:rFonts w:ascii="Times New Roman" w:hAnsi="Times New Roman"/>
          <w:b/>
          <w:i w:val="0"/>
          <w:sz w:val="22"/>
          <w:szCs w:val="22"/>
        </w:rPr>
        <w:br/>
      </w:r>
      <w:r w:rsidR="009C287C" w:rsidRPr="00DC56C1">
        <w:rPr>
          <w:rFonts w:ascii="Times New Roman" w:hAnsi="Times New Roman"/>
          <w:b/>
          <w:i w:val="0"/>
          <w:sz w:val="22"/>
          <w:szCs w:val="22"/>
        </w:rPr>
        <w:t>Overall guidance:</w:t>
      </w:r>
    </w:p>
    <w:p w:rsidR="0078306B" w:rsidRPr="00DC56C1" w:rsidRDefault="001301AC" w:rsidP="00F6605B">
      <w:pPr>
        <w:jc w:val="both"/>
        <w:rPr>
          <w:rFonts w:ascii="Times New Roman" w:hAnsi="Times New Roman"/>
          <w:sz w:val="22"/>
          <w:szCs w:val="22"/>
        </w:rPr>
      </w:pPr>
      <w:r w:rsidRPr="00DC56C1">
        <w:rPr>
          <w:rFonts w:ascii="Times New Roman" w:hAnsi="Times New Roman"/>
          <w:sz w:val="22"/>
          <w:szCs w:val="22"/>
        </w:rPr>
        <w:t>The project is currently being implemented in accordance with an integrated workplan that reflects</w:t>
      </w:r>
      <w:r w:rsidR="001A7C41" w:rsidRPr="00DC56C1">
        <w:rPr>
          <w:rFonts w:ascii="Times New Roman" w:hAnsi="Times New Roman"/>
          <w:sz w:val="22"/>
          <w:szCs w:val="22"/>
        </w:rPr>
        <w:t xml:space="preserve"> three separate funding sources, including </w:t>
      </w:r>
      <w:r w:rsidR="00F6605B" w:rsidRPr="00DC56C1">
        <w:rPr>
          <w:rFonts w:ascii="Times New Roman" w:hAnsi="Times New Roman"/>
          <w:sz w:val="22"/>
          <w:szCs w:val="22"/>
        </w:rPr>
        <w:t xml:space="preserve">from </w:t>
      </w:r>
      <w:r w:rsidR="001A7C41" w:rsidRPr="00DC56C1">
        <w:rPr>
          <w:rFonts w:ascii="Times New Roman" w:hAnsi="Times New Roman"/>
          <w:sz w:val="22"/>
          <w:szCs w:val="22"/>
        </w:rPr>
        <w:t>BCPR. The remaining BCPR funds will be utilized to recruit the Access to Justice consultant who will implement this project component with civil society organizations and NGOs in the eastern city of Benghazi. Depending on the</w:t>
      </w:r>
      <w:r w:rsidR="0078306B" w:rsidRPr="00DC56C1">
        <w:rPr>
          <w:rFonts w:ascii="Times New Roman" w:hAnsi="Times New Roman"/>
          <w:sz w:val="22"/>
          <w:szCs w:val="22"/>
        </w:rPr>
        <w:t xml:space="preserve"> security situation in the east, the training of NGOs will either be conducted over the course of 4-6 weeks in Benghazi or partly in Tripoli</w:t>
      </w:r>
      <w:r w:rsidR="00F6605B" w:rsidRPr="00DC56C1">
        <w:rPr>
          <w:rFonts w:ascii="Times New Roman" w:hAnsi="Times New Roman"/>
          <w:sz w:val="22"/>
          <w:szCs w:val="22"/>
        </w:rPr>
        <w:t>, as part of a mitigation strategy in the event of heightened security risks</w:t>
      </w:r>
      <w:r w:rsidR="001A7C41" w:rsidRPr="00DC56C1">
        <w:rPr>
          <w:rFonts w:ascii="Times New Roman" w:hAnsi="Times New Roman"/>
          <w:sz w:val="22"/>
          <w:szCs w:val="22"/>
        </w:rPr>
        <w:t xml:space="preserve"> </w:t>
      </w:r>
    </w:p>
    <w:p w:rsidR="0078306B" w:rsidRPr="00DC56C1" w:rsidRDefault="0078306B" w:rsidP="001A7C41">
      <w:pPr>
        <w:jc w:val="both"/>
        <w:rPr>
          <w:rFonts w:ascii="Times New Roman" w:hAnsi="Times New Roman"/>
          <w:sz w:val="22"/>
          <w:szCs w:val="22"/>
        </w:rPr>
      </w:pPr>
    </w:p>
    <w:p w:rsidR="001A7C41" w:rsidRPr="00DC56C1" w:rsidRDefault="0078306B" w:rsidP="002469B7">
      <w:pPr>
        <w:jc w:val="both"/>
        <w:rPr>
          <w:rFonts w:ascii="Times New Roman" w:hAnsi="Times New Roman"/>
          <w:sz w:val="22"/>
          <w:szCs w:val="22"/>
        </w:rPr>
      </w:pPr>
      <w:r w:rsidRPr="00DC56C1">
        <w:rPr>
          <w:rFonts w:ascii="Times New Roman" w:hAnsi="Times New Roman"/>
          <w:sz w:val="22"/>
          <w:szCs w:val="22"/>
        </w:rPr>
        <w:t>Remaining funds will also be use to partly fund a team of international and national expert consultants to be embedded with the TSRC to provide ongoing support and advi</w:t>
      </w:r>
      <w:r w:rsidR="00E92CE7" w:rsidRPr="00DC56C1">
        <w:rPr>
          <w:rFonts w:ascii="Times New Roman" w:hAnsi="Times New Roman"/>
          <w:sz w:val="22"/>
          <w:szCs w:val="22"/>
        </w:rPr>
        <w:t>c</w:t>
      </w:r>
      <w:r w:rsidRPr="00DC56C1">
        <w:rPr>
          <w:rFonts w:ascii="Times New Roman" w:hAnsi="Times New Roman"/>
          <w:sz w:val="22"/>
          <w:szCs w:val="22"/>
        </w:rPr>
        <w:t>e on the implementation of its mandate in accordance with the amended law on TJ and international standards.</w:t>
      </w:r>
      <w:r w:rsidR="00F6605B" w:rsidRPr="00DC56C1">
        <w:rPr>
          <w:rFonts w:ascii="Times New Roman" w:hAnsi="Times New Roman"/>
          <w:sz w:val="22"/>
          <w:szCs w:val="22"/>
        </w:rPr>
        <w:t xml:space="preserve"> The delay in </w:t>
      </w:r>
      <w:r w:rsidR="006E58D1" w:rsidRPr="00DC56C1">
        <w:rPr>
          <w:rFonts w:ascii="Times New Roman" w:hAnsi="Times New Roman"/>
          <w:sz w:val="22"/>
          <w:szCs w:val="22"/>
        </w:rPr>
        <w:t>passing the</w:t>
      </w:r>
      <w:r w:rsidR="00F6605B" w:rsidRPr="00DC56C1">
        <w:rPr>
          <w:rFonts w:ascii="Times New Roman" w:hAnsi="Times New Roman"/>
          <w:sz w:val="22"/>
          <w:szCs w:val="22"/>
        </w:rPr>
        <w:t xml:space="preserve"> amended law will be taken into consideration, however UNDP and UNSMI</w:t>
      </w:r>
      <w:r w:rsidR="002469B7" w:rsidRPr="00DC56C1">
        <w:rPr>
          <w:rFonts w:ascii="Times New Roman" w:hAnsi="Times New Roman"/>
          <w:sz w:val="22"/>
          <w:szCs w:val="22"/>
        </w:rPr>
        <w:t>L</w:t>
      </w:r>
      <w:r w:rsidR="00F6605B" w:rsidRPr="00DC56C1">
        <w:rPr>
          <w:rFonts w:ascii="Times New Roman" w:hAnsi="Times New Roman"/>
          <w:sz w:val="22"/>
          <w:szCs w:val="22"/>
        </w:rPr>
        <w:t xml:space="preserve"> will </w:t>
      </w:r>
      <w:r w:rsidR="009D4FAC" w:rsidRPr="00DC56C1">
        <w:rPr>
          <w:rFonts w:ascii="Times New Roman" w:hAnsi="Times New Roman"/>
          <w:sz w:val="22"/>
          <w:szCs w:val="22"/>
        </w:rPr>
        <w:t>strategize</w:t>
      </w:r>
      <w:r w:rsidR="00F6605B" w:rsidRPr="00DC56C1">
        <w:rPr>
          <w:rFonts w:ascii="Times New Roman" w:hAnsi="Times New Roman"/>
          <w:sz w:val="22"/>
          <w:szCs w:val="22"/>
        </w:rPr>
        <w:t xml:space="preserve"> a form of start-up assistance tha</w:t>
      </w:r>
      <w:r w:rsidR="00AA34D7" w:rsidRPr="00DC56C1">
        <w:rPr>
          <w:rFonts w:ascii="Times New Roman" w:hAnsi="Times New Roman"/>
          <w:sz w:val="22"/>
          <w:szCs w:val="22"/>
        </w:rPr>
        <w:t>t</w:t>
      </w:r>
      <w:r w:rsidR="00F6605B" w:rsidRPr="00DC56C1">
        <w:rPr>
          <w:rFonts w:ascii="Times New Roman" w:hAnsi="Times New Roman"/>
          <w:sz w:val="22"/>
          <w:szCs w:val="22"/>
        </w:rPr>
        <w:t xml:space="preserve"> will be </w:t>
      </w:r>
      <w:r w:rsidR="00AA34D7" w:rsidRPr="00DC56C1">
        <w:rPr>
          <w:rFonts w:ascii="Times New Roman" w:hAnsi="Times New Roman"/>
          <w:sz w:val="22"/>
          <w:szCs w:val="22"/>
        </w:rPr>
        <w:t>critical</w:t>
      </w:r>
      <w:r w:rsidR="00F6605B" w:rsidRPr="00DC56C1">
        <w:rPr>
          <w:rFonts w:ascii="Times New Roman" w:hAnsi="Times New Roman"/>
          <w:sz w:val="22"/>
          <w:szCs w:val="22"/>
        </w:rPr>
        <w:t xml:space="preserve"> for the current </w:t>
      </w:r>
      <w:r w:rsidR="0021042A" w:rsidRPr="00DC56C1">
        <w:rPr>
          <w:rFonts w:ascii="Times New Roman" w:hAnsi="Times New Roman"/>
          <w:sz w:val="22"/>
          <w:szCs w:val="22"/>
        </w:rPr>
        <w:t>priories and activities</w:t>
      </w:r>
      <w:r w:rsidR="00F6605B" w:rsidRPr="00DC56C1">
        <w:rPr>
          <w:rFonts w:ascii="Times New Roman" w:hAnsi="Times New Roman"/>
          <w:sz w:val="22"/>
          <w:szCs w:val="22"/>
        </w:rPr>
        <w:t xml:space="preserve"> of the TSRC.   </w:t>
      </w:r>
      <w:r w:rsidRPr="00DC56C1">
        <w:rPr>
          <w:rFonts w:ascii="Times New Roman" w:hAnsi="Times New Roman"/>
          <w:sz w:val="22"/>
          <w:szCs w:val="22"/>
        </w:rPr>
        <w:t xml:space="preserve"> </w:t>
      </w:r>
      <w:r w:rsidR="001A7C41" w:rsidRPr="00DC56C1">
        <w:rPr>
          <w:rFonts w:ascii="Times New Roman" w:hAnsi="Times New Roman"/>
          <w:sz w:val="22"/>
          <w:szCs w:val="22"/>
        </w:rPr>
        <w:t xml:space="preserve"> </w:t>
      </w:r>
    </w:p>
    <w:p w:rsidR="004E5E25" w:rsidRPr="00DC56C1" w:rsidRDefault="001A7C41" w:rsidP="00487988">
      <w:pPr>
        <w:jc w:val="both"/>
        <w:rPr>
          <w:rFonts w:ascii="Times New Roman" w:hAnsi="Times New Roman"/>
          <w:sz w:val="22"/>
          <w:szCs w:val="22"/>
        </w:rPr>
      </w:pPr>
      <w:r w:rsidRPr="00DC56C1">
        <w:rPr>
          <w:rFonts w:ascii="Times New Roman" w:hAnsi="Times New Roman"/>
          <w:sz w:val="22"/>
          <w:szCs w:val="22"/>
        </w:rPr>
        <w:t xml:space="preserve">   </w:t>
      </w:r>
      <w:r w:rsidR="001301AC" w:rsidRPr="00DC56C1">
        <w:rPr>
          <w:rFonts w:ascii="Times New Roman" w:hAnsi="Times New Roman"/>
          <w:sz w:val="22"/>
          <w:szCs w:val="22"/>
        </w:rPr>
        <w:t xml:space="preserve">  </w:t>
      </w:r>
    </w:p>
    <w:p w:rsidR="004E5E25" w:rsidRPr="00DC56C1" w:rsidRDefault="004E5E25" w:rsidP="004E5E25">
      <w:pPr>
        <w:rPr>
          <w:rFonts w:ascii="Times New Roman" w:hAnsi="Times New Roman"/>
          <w:sz w:val="22"/>
          <w:szCs w:val="22"/>
        </w:rPr>
      </w:pPr>
    </w:p>
    <w:p w:rsidR="009C287C" w:rsidRPr="00DC56C1" w:rsidRDefault="004E5E25" w:rsidP="00C51355">
      <w:pPr>
        <w:pStyle w:val="Heading1"/>
        <w:shd w:val="clear" w:color="auto" w:fill="FFC000"/>
        <w:jc w:val="left"/>
        <w:rPr>
          <w:rFonts w:ascii="Times New Roman" w:hAnsi="Times New Roman"/>
          <w:color w:val="auto"/>
          <w:sz w:val="22"/>
          <w:szCs w:val="22"/>
        </w:rPr>
      </w:pPr>
      <w:r w:rsidRPr="00DC56C1">
        <w:rPr>
          <w:rFonts w:ascii="Times New Roman" w:hAnsi="Times New Roman"/>
          <w:color w:val="FFFFFF"/>
          <w:sz w:val="22"/>
          <w:szCs w:val="22"/>
          <w:shd w:val="clear" w:color="auto" w:fill="FFC000"/>
        </w:rPr>
        <w:t>financial summary</w:t>
      </w:r>
      <w:r w:rsidRPr="00DC56C1">
        <w:rPr>
          <w:rFonts w:ascii="Times New Roman" w:hAnsi="Times New Roman"/>
          <w:color w:val="FFFFFF"/>
          <w:sz w:val="22"/>
          <w:szCs w:val="22"/>
        </w:rPr>
        <w:t xml:space="preserve"> </w:t>
      </w:r>
    </w:p>
    <w:p w:rsidR="004E5E25" w:rsidRPr="00DC56C1" w:rsidRDefault="00C51355" w:rsidP="004E5E25">
      <w:pPr>
        <w:pStyle w:val="Caption1"/>
        <w:rPr>
          <w:rFonts w:ascii="Times New Roman" w:hAnsi="Times New Roman"/>
          <w:b/>
          <w:i w:val="0"/>
          <w:sz w:val="22"/>
          <w:szCs w:val="22"/>
        </w:rPr>
      </w:pPr>
      <w:r w:rsidRPr="00DC56C1">
        <w:rPr>
          <w:rFonts w:ascii="Times New Roman" w:hAnsi="Times New Roman"/>
          <w:b/>
          <w:i w:val="0"/>
          <w:sz w:val="22"/>
          <w:szCs w:val="22"/>
        </w:rPr>
        <w:br/>
      </w:r>
      <w:r w:rsidR="004E5E25" w:rsidRPr="00DC56C1">
        <w:rPr>
          <w:rFonts w:ascii="Times New Roman" w:hAnsi="Times New Roman"/>
          <w:b/>
          <w:i w:val="0"/>
          <w:sz w:val="22"/>
          <w:szCs w:val="22"/>
        </w:rPr>
        <w:t>Overall guidance:</w:t>
      </w:r>
    </w:p>
    <w:p w:rsidR="009C287C" w:rsidRPr="00DC56C1" w:rsidRDefault="009C287C" w:rsidP="004E5E25">
      <w:pPr>
        <w:rPr>
          <w:rFonts w:ascii="Times New Roman" w:hAnsi="Times New Roman"/>
          <w:sz w:val="22"/>
          <w:szCs w:val="22"/>
        </w:rPr>
      </w:pPr>
      <w:r w:rsidRPr="00DC56C1">
        <w:rPr>
          <w:rFonts w:ascii="Times New Roman" w:hAnsi="Times New Roman"/>
          <w:sz w:val="22"/>
          <w:szCs w:val="22"/>
        </w:rPr>
        <w:t xml:space="preserve">Indicate the total amount provided by donor and provide breakdown of programmable amount and the GMS amount. Provide detailed financial </w:t>
      </w:r>
      <w:r w:rsidR="0095609D" w:rsidRPr="00DC56C1">
        <w:rPr>
          <w:rFonts w:ascii="Times New Roman" w:hAnsi="Times New Roman"/>
          <w:sz w:val="22"/>
          <w:szCs w:val="22"/>
        </w:rPr>
        <w:t>expenditures</w:t>
      </w:r>
      <w:r w:rsidRPr="00DC56C1">
        <w:rPr>
          <w:rFonts w:ascii="Times New Roman" w:hAnsi="Times New Roman"/>
          <w:sz w:val="22"/>
          <w:szCs w:val="22"/>
        </w:rPr>
        <w:t xml:space="preserve"> by </w:t>
      </w:r>
      <w:r w:rsidR="0083228E" w:rsidRPr="00DC56C1">
        <w:rPr>
          <w:rFonts w:ascii="Times New Roman" w:hAnsi="Times New Roman"/>
          <w:sz w:val="22"/>
          <w:szCs w:val="22"/>
        </w:rPr>
        <w:t xml:space="preserve">objectives </w:t>
      </w:r>
      <w:r w:rsidRPr="00DC56C1">
        <w:rPr>
          <w:rFonts w:ascii="Times New Roman" w:hAnsi="Times New Roman"/>
          <w:sz w:val="22"/>
          <w:szCs w:val="22"/>
        </w:rPr>
        <w:t xml:space="preserve">and </w:t>
      </w:r>
      <w:r w:rsidR="0083228E" w:rsidRPr="00DC56C1">
        <w:rPr>
          <w:rFonts w:ascii="Times New Roman" w:hAnsi="Times New Roman"/>
          <w:sz w:val="22"/>
          <w:szCs w:val="22"/>
        </w:rPr>
        <w:t>activities</w:t>
      </w:r>
      <w:r w:rsidRPr="00DC56C1">
        <w:rPr>
          <w:rFonts w:ascii="Times New Roman" w:hAnsi="Times New Roman"/>
          <w:sz w:val="22"/>
          <w:szCs w:val="22"/>
        </w:rPr>
        <w:t xml:space="preserve">. Ensure that </w:t>
      </w:r>
      <w:r w:rsidR="0095609D" w:rsidRPr="00DC56C1">
        <w:rPr>
          <w:rFonts w:ascii="Times New Roman" w:hAnsi="Times New Roman"/>
          <w:sz w:val="22"/>
          <w:szCs w:val="22"/>
        </w:rPr>
        <w:t xml:space="preserve">the figures provided match with those in Atlas. </w:t>
      </w:r>
    </w:p>
    <w:p w:rsidR="00855B6E" w:rsidRPr="007B0AC9" w:rsidRDefault="00855B6E" w:rsidP="00855B6E">
      <w:pPr>
        <w:rPr>
          <w:rFonts w:ascii="Arial" w:hAnsi="Arial" w:cs="Arial"/>
          <w:sz w:val="24"/>
        </w:rPr>
      </w:pPr>
    </w:p>
    <w:p w:rsidR="00855B6E" w:rsidRPr="007B0AC9" w:rsidRDefault="00855B6E" w:rsidP="00855B6E">
      <w:pPr>
        <w:rPr>
          <w:rFonts w:ascii="Arial" w:hAnsi="Arial" w:cs="Arial"/>
          <w:sz w:val="24"/>
        </w:rPr>
      </w:pPr>
      <w:r>
        <w:rPr>
          <w:rFonts w:ascii="Arial" w:hAnsi="Arial" w:cs="Arial"/>
          <w:sz w:val="24"/>
        </w:rPr>
        <w:t>Details of Expenses up to 31/03/2013:</w:t>
      </w:r>
    </w:p>
    <w:p w:rsidR="00855B6E" w:rsidRPr="007B0AC9" w:rsidRDefault="00855B6E" w:rsidP="00855B6E">
      <w:pPr>
        <w:pBdr>
          <w:bottom w:val="double" w:sz="6" w:space="1" w:color="auto"/>
        </w:pBdr>
        <w:ind w:firstLine="720"/>
        <w:rPr>
          <w:rFonts w:ascii="Arial" w:hAnsi="Arial" w:cs="Arial"/>
          <w:sz w:val="24"/>
        </w:rPr>
      </w:pPr>
      <w:r>
        <w:rPr>
          <w:rFonts w:ascii="Arial" w:hAnsi="Arial" w:cs="Arial"/>
          <w:sz w:val="24"/>
        </w:rPr>
        <w:t>Account Code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Expenses (USD)</w:t>
      </w:r>
    </w:p>
    <w:p w:rsidR="00855B6E" w:rsidRDefault="00855B6E" w:rsidP="00855B6E">
      <w:pPr>
        <w:autoSpaceDE w:val="0"/>
        <w:autoSpaceDN w:val="0"/>
        <w:adjustRightInd w:val="0"/>
        <w:rPr>
          <w:rFonts w:ascii="Arial" w:hAnsi="Arial" w:cs="Arial"/>
          <w:sz w:val="24"/>
        </w:rPr>
      </w:pPr>
      <w:r w:rsidRPr="007B0AC9">
        <w:rPr>
          <w:rFonts w:ascii="Arial" w:hAnsi="Arial" w:cs="Arial"/>
          <w:sz w:val="24"/>
        </w:rPr>
        <w:t>61305</w:t>
      </w:r>
      <w:r>
        <w:rPr>
          <w:rFonts w:ascii="Arial" w:hAnsi="Arial" w:cs="Arial"/>
          <w:sz w:val="24"/>
        </w:rPr>
        <w:t xml:space="preserve"> - </w:t>
      </w:r>
      <w:r w:rsidRPr="007B0AC9">
        <w:rPr>
          <w:rFonts w:ascii="Arial" w:hAnsi="Arial" w:cs="Arial"/>
          <w:sz w:val="24"/>
        </w:rPr>
        <w:t>Salaries - IP Staff</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7B0AC9">
        <w:rPr>
          <w:rFonts w:ascii="Arial" w:hAnsi="Arial" w:cs="Arial"/>
          <w:sz w:val="24"/>
        </w:rPr>
        <w:t>19</w:t>
      </w:r>
      <w:r>
        <w:rPr>
          <w:rFonts w:ascii="Arial" w:hAnsi="Arial" w:cs="Arial"/>
          <w:sz w:val="24"/>
        </w:rPr>
        <w:t>,</w:t>
      </w:r>
      <w:r w:rsidRPr="007B0AC9">
        <w:rPr>
          <w:rFonts w:ascii="Arial" w:hAnsi="Arial" w:cs="Arial"/>
          <w:sz w:val="24"/>
        </w:rPr>
        <w:t>061.81</w:t>
      </w:r>
    </w:p>
    <w:p w:rsidR="00855B6E" w:rsidRDefault="00855B6E" w:rsidP="00855B6E">
      <w:pPr>
        <w:autoSpaceDE w:val="0"/>
        <w:autoSpaceDN w:val="0"/>
        <w:adjustRightInd w:val="0"/>
        <w:rPr>
          <w:rFonts w:ascii="Arial" w:hAnsi="Arial" w:cs="Arial"/>
          <w:sz w:val="24"/>
        </w:rPr>
      </w:pPr>
      <w:r w:rsidRPr="00BB361E">
        <w:rPr>
          <w:rFonts w:ascii="Arial" w:hAnsi="Arial" w:cs="Arial"/>
          <w:sz w:val="24"/>
        </w:rPr>
        <w:t>61310</w:t>
      </w:r>
      <w:r>
        <w:rPr>
          <w:rFonts w:ascii="Arial" w:hAnsi="Arial" w:cs="Arial"/>
          <w:sz w:val="24"/>
        </w:rPr>
        <w:t xml:space="preserve"> - </w:t>
      </w:r>
      <w:r w:rsidRPr="00BB361E">
        <w:rPr>
          <w:rFonts w:ascii="Arial" w:hAnsi="Arial" w:cs="Arial"/>
          <w:sz w:val="24"/>
        </w:rPr>
        <w:t>Post Adjustment - IP Staff</w:t>
      </w:r>
      <w:r>
        <w:rPr>
          <w:rFonts w:ascii="Arial" w:hAnsi="Arial" w:cs="Arial"/>
          <w:sz w:val="24"/>
        </w:rPr>
        <w:tab/>
      </w:r>
      <w:r>
        <w:rPr>
          <w:rFonts w:ascii="Arial" w:hAnsi="Arial" w:cs="Arial"/>
          <w:sz w:val="24"/>
        </w:rPr>
        <w:tab/>
      </w:r>
      <w:r>
        <w:rPr>
          <w:rFonts w:ascii="Arial" w:hAnsi="Arial" w:cs="Arial"/>
          <w:sz w:val="24"/>
        </w:rPr>
        <w:tab/>
      </w:r>
      <w:r w:rsidRPr="00BB361E">
        <w:rPr>
          <w:rFonts w:ascii="Arial" w:hAnsi="Arial" w:cs="Arial"/>
          <w:sz w:val="24"/>
        </w:rPr>
        <w:t>6</w:t>
      </w:r>
      <w:r>
        <w:rPr>
          <w:rFonts w:ascii="Arial" w:hAnsi="Arial" w:cs="Arial"/>
          <w:sz w:val="24"/>
        </w:rPr>
        <w:t>,</w:t>
      </w:r>
      <w:r w:rsidRPr="00BB361E">
        <w:rPr>
          <w:rFonts w:ascii="Arial" w:hAnsi="Arial" w:cs="Arial"/>
          <w:sz w:val="24"/>
        </w:rPr>
        <w:t>981.75</w:t>
      </w:r>
    </w:p>
    <w:p w:rsidR="00855B6E" w:rsidRDefault="00855B6E" w:rsidP="00855B6E">
      <w:pPr>
        <w:autoSpaceDE w:val="0"/>
        <w:autoSpaceDN w:val="0"/>
        <w:adjustRightInd w:val="0"/>
        <w:rPr>
          <w:rFonts w:ascii="Arial" w:hAnsi="Arial" w:cs="Arial"/>
          <w:sz w:val="24"/>
        </w:rPr>
      </w:pPr>
      <w:r w:rsidRPr="00BB361E">
        <w:rPr>
          <w:rFonts w:ascii="Arial" w:hAnsi="Arial" w:cs="Arial"/>
          <w:sz w:val="24"/>
        </w:rPr>
        <w:t>62310</w:t>
      </w:r>
      <w:r>
        <w:rPr>
          <w:rFonts w:ascii="Arial" w:hAnsi="Arial" w:cs="Arial"/>
          <w:sz w:val="24"/>
        </w:rPr>
        <w:t xml:space="preserve"> - </w:t>
      </w:r>
      <w:r w:rsidRPr="00BB361E">
        <w:rPr>
          <w:rFonts w:ascii="Arial" w:hAnsi="Arial" w:cs="Arial"/>
          <w:sz w:val="24"/>
        </w:rPr>
        <w:t>Contrib to Jt Staff Pens Fd-IP</w:t>
      </w:r>
      <w:r>
        <w:rPr>
          <w:rFonts w:ascii="Arial" w:hAnsi="Arial" w:cs="Arial"/>
          <w:sz w:val="24"/>
        </w:rPr>
        <w:tab/>
      </w:r>
      <w:r>
        <w:rPr>
          <w:rFonts w:ascii="Arial" w:hAnsi="Arial" w:cs="Arial"/>
          <w:sz w:val="24"/>
        </w:rPr>
        <w:tab/>
      </w:r>
      <w:r>
        <w:rPr>
          <w:rFonts w:ascii="Arial" w:hAnsi="Arial" w:cs="Arial"/>
          <w:sz w:val="24"/>
        </w:rPr>
        <w:tab/>
      </w:r>
      <w:r w:rsidRPr="00BB361E">
        <w:rPr>
          <w:rFonts w:ascii="Arial" w:hAnsi="Arial" w:cs="Arial"/>
          <w:sz w:val="24"/>
        </w:rPr>
        <w:t>6</w:t>
      </w:r>
      <w:r>
        <w:rPr>
          <w:rFonts w:ascii="Arial" w:hAnsi="Arial" w:cs="Arial"/>
          <w:sz w:val="24"/>
        </w:rPr>
        <w:t>,</w:t>
      </w:r>
      <w:r w:rsidRPr="00BB361E">
        <w:rPr>
          <w:rFonts w:ascii="Arial" w:hAnsi="Arial" w:cs="Arial"/>
          <w:sz w:val="24"/>
        </w:rPr>
        <w:t>485.26</w:t>
      </w:r>
    </w:p>
    <w:p w:rsidR="00855B6E" w:rsidRDefault="00855B6E" w:rsidP="00855B6E">
      <w:pPr>
        <w:autoSpaceDE w:val="0"/>
        <w:autoSpaceDN w:val="0"/>
        <w:adjustRightInd w:val="0"/>
        <w:rPr>
          <w:rFonts w:ascii="Arial" w:hAnsi="Arial" w:cs="Arial"/>
          <w:sz w:val="24"/>
        </w:rPr>
      </w:pPr>
      <w:r w:rsidRPr="00BB361E">
        <w:rPr>
          <w:rFonts w:ascii="Arial" w:hAnsi="Arial" w:cs="Arial"/>
          <w:sz w:val="24"/>
        </w:rPr>
        <w:t>62315</w:t>
      </w:r>
      <w:r>
        <w:rPr>
          <w:rFonts w:ascii="Arial" w:hAnsi="Arial" w:cs="Arial"/>
          <w:sz w:val="24"/>
        </w:rPr>
        <w:t xml:space="preserve"> - </w:t>
      </w:r>
      <w:r w:rsidRPr="00BB361E">
        <w:rPr>
          <w:rFonts w:ascii="Arial" w:hAnsi="Arial" w:cs="Arial"/>
          <w:sz w:val="24"/>
        </w:rPr>
        <w:t>Contrib. to medical, social in</w:t>
      </w:r>
      <w:r>
        <w:rPr>
          <w:rFonts w:ascii="Arial" w:hAnsi="Arial" w:cs="Arial"/>
          <w:sz w:val="24"/>
        </w:rPr>
        <w:tab/>
      </w:r>
      <w:r>
        <w:rPr>
          <w:rFonts w:ascii="Arial" w:hAnsi="Arial" w:cs="Arial"/>
          <w:sz w:val="24"/>
        </w:rPr>
        <w:tab/>
      </w:r>
      <w:r>
        <w:rPr>
          <w:rFonts w:ascii="Arial" w:hAnsi="Arial" w:cs="Arial"/>
          <w:sz w:val="24"/>
        </w:rPr>
        <w:tab/>
      </w:r>
      <w:r w:rsidRPr="00BB361E">
        <w:rPr>
          <w:rFonts w:ascii="Arial" w:hAnsi="Arial" w:cs="Arial"/>
          <w:sz w:val="24"/>
        </w:rPr>
        <w:t>60.3</w:t>
      </w:r>
    </w:p>
    <w:p w:rsidR="00855B6E" w:rsidRDefault="00855B6E" w:rsidP="00855B6E">
      <w:pPr>
        <w:autoSpaceDE w:val="0"/>
        <w:autoSpaceDN w:val="0"/>
        <w:adjustRightInd w:val="0"/>
        <w:rPr>
          <w:rFonts w:ascii="Arial" w:hAnsi="Arial" w:cs="Arial"/>
          <w:sz w:val="24"/>
        </w:rPr>
      </w:pPr>
      <w:r w:rsidRPr="00BB361E">
        <w:rPr>
          <w:rFonts w:ascii="Arial" w:hAnsi="Arial" w:cs="Arial"/>
          <w:sz w:val="24"/>
        </w:rPr>
        <w:t>62320</w:t>
      </w:r>
      <w:r>
        <w:rPr>
          <w:rFonts w:ascii="Arial" w:hAnsi="Arial" w:cs="Arial"/>
          <w:sz w:val="24"/>
        </w:rPr>
        <w:t xml:space="preserve"> - </w:t>
      </w:r>
      <w:r w:rsidRPr="00BB361E">
        <w:rPr>
          <w:rFonts w:ascii="Arial" w:hAnsi="Arial" w:cs="Arial"/>
          <w:sz w:val="24"/>
        </w:rPr>
        <w:t>Mobility, Hardship, Non-remova</w:t>
      </w:r>
      <w:r>
        <w:rPr>
          <w:rFonts w:ascii="Arial" w:hAnsi="Arial" w:cs="Arial"/>
          <w:sz w:val="24"/>
        </w:rPr>
        <w:tab/>
      </w:r>
      <w:r>
        <w:rPr>
          <w:rFonts w:ascii="Arial" w:hAnsi="Arial" w:cs="Arial"/>
          <w:sz w:val="24"/>
        </w:rPr>
        <w:tab/>
      </w:r>
      <w:r>
        <w:rPr>
          <w:rFonts w:ascii="Arial" w:hAnsi="Arial" w:cs="Arial"/>
          <w:sz w:val="24"/>
        </w:rPr>
        <w:tab/>
      </w:r>
      <w:r w:rsidRPr="00BB361E">
        <w:rPr>
          <w:rFonts w:ascii="Arial" w:hAnsi="Arial" w:cs="Arial"/>
          <w:sz w:val="24"/>
        </w:rPr>
        <w:t>2</w:t>
      </w:r>
      <w:r>
        <w:rPr>
          <w:rFonts w:ascii="Arial" w:hAnsi="Arial" w:cs="Arial"/>
          <w:sz w:val="24"/>
        </w:rPr>
        <w:t>,</w:t>
      </w:r>
      <w:r w:rsidRPr="00BB361E">
        <w:rPr>
          <w:rFonts w:ascii="Arial" w:hAnsi="Arial" w:cs="Arial"/>
          <w:sz w:val="24"/>
        </w:rPr>
        <w:t>557.76</w:t>
      </w:r>
    </w:p>
    <w:p w:rsidR="00855B6E" w:rsidRDefault="00855B6E" w:rsidP="00855B6E">
      <w:pPr>
        <w:autoSpaceDE w:val="0"/>
        <w:autoSpaceDN w:val="0"/>
        <w:adjustRightInd w:val="0"/>
        <w:rPr>
          <w:rFonts w:ascii="Arial" w:hAnsi="Arial" w:cs="Arial"/>
          <w:sz w:val="24"/>
        </w:rPr>
      </w:pPr>
      <w:r w:rsidRPr="00BB361E">
        <w:rPr>
          <w:rFonts w:ascii="Arial" w:hAnsi="Arial" w:cs="Arial"/>
          <w:sz w:val="24"/>
        </w:rPr>
        <w:t>62340</w:t>
      </w:r>
      <w:r>
        <w:rPr>
          <w:rFonts w:ascii="Arial" w:hAnsi="Arial" w:cs="Arial"/>
          <w:sz w:val="24"/>
        </w:rPr>
        <w:t xml:space="preserve"> - </w:t>
      </w:r>
      <w:r w:rsidRPr="00BB361E">
        <w:rPr>
          <w:rFonts w:ascii="Arial" w:hAnsi="Arial" w:cs="Arial"/>
          <w:sz w:val="24"/>
        </w:rPr>
        <w:t xml:space="preserve">Annual Leave Expense </w:t>
      </w:r>
      <w:r>
        <w:rPr>
          <w:rFonts w:ascii="Arial" w:hAnsi="Arial" w:cs="Arial"/>
          <w:sz w:val="24"/>
        </w:rPr>
        <w:t>–</w:t>
      </w:r>
      <w:r w:rsidRPr="00BB361E">
        <w:rPr>
          <w:rFonts w:ascii="Arial" w:hAnsi="Arial" w:cs="Arial"/>
          <w:sz w:val="24"/>
        </w:rPr>
        <w:t xml:space="preserve"> IP</w:t>
      </w:r>
      <w:r>
        <w:rPr>
          <w:rFonts w:ascii="Arial" w:hAnsi="Arial" w:cs="Arial"/>
          <w:sz w:val="24"/>
        </w:rPr>
        <w:tab/>
      </w:r>
      <w:r>
        <w:rPr>
          <w:rFonts w:ascii="Arial" w:hAnsi="Arial" w:cs="Arial"/>
          <w:sz w:val="24"/>
        </w:rPr>
        <w:tab/>
      </w:r>
      <w:r>
        <w:rPr>
          <w:rFonts w:ascii="Arial" w:hAnsi="Arial" w:cs="Arial"/>
          <w:sz w:val="24"/>
        </w:rPr>
        <w:tab/>
      </w:r>
      <w:r w:rsidRPr="00BB361E">
        <w:rPr>
          <w:rFonts w:ascii="Arial" w:hAnsi="Arial" w:cs="Arial"/>
          <w:sz w:val="24"/>
        </w:rPr>
        <w:t>3</w:t>
      </w:r>
      <w:r>
        <w:rPr>
          <w:rFonts w:ascii="Arial" w:hAnsi="Arial" w:cs="Arial"/>
          <w:sz w:val="24"/>
        </w:rPr>
        <w:t>,</w:t>
      </w:r>
      <w:r w:rsidRPr="00BB361E">
        <w:rPr>
          <w:rFonts w:ascii="Arial" w:hAnsi="Arial" w:cs="Arial"/>
          <w:sz w:val="24"/>
        </w:rPr>
        <w:t>172.22</w:t>
      </w:r>
    </w:p>
    <w:p w:rsidR="00855B6E" w:rsidRDefault="00855B6E" w:rsidP="00855B6E">
      <w:pPr>
        <w:autoSpaceDE w:val="0"/>
        <w:autoSpaceDN w:val="0"/>
        <w:adjustRightInd w:val="0"/>
        <w:rPr>
          <w:rFonts w:ascii="Arial" w:hAnsi="Arial" w:cs="Arial"/>
          <w:sz w:val="24"/>
        </w:rPr>
      </w:pPr>
      <w:r w:rsidRPr="00BB361E">
        <w:rPr>
          <w:rFonts w:ascii="Arial" w:hAnsi="Arial" w:cs="Arial"/>
          <w:sz w:val="24"/>
        </w:rPr>
        <w:t>63335</w:t>
      </w:r>
      <w:r>
        <w:rPr>
          <w:rFonts w:ascii="Arial" w:hAnsi="Arial" w:cs="Arial"/>
          <w:sz w:val="24"/>
        </w:rPr>
        <w:t xml:space="preserve"> - </w:t>
      </w:r>
      <w:r w:rsidRPr="00BB361E">
        <w:rPr>
          <w:rFonts w:ascii="Arial" w:hAnsi="Arial" w:cs="Arial"/>
          <w:sz w:val="24"/>
        </w:rPr>
        <w:t>Home Leave Trvl &amp; Allow-IP Stf</w:t>
      </w:r>
      <w:r>
        <w:rPr>
          <w:rFonts w:ascii="Arial" w:hAnsi="Arial" w:cs="Arial"/>
          <w:sz w:val="24"/>
        </w:rPr>
        <w:tab/>
      </w:r>
      <w:r>
        <w:rPr>
          <w:rFonts w:ascii="Arial" w:hAnsi="Arial" w:cs="Arial"/>
          <w:sz w:val="24"/>
        </w:rPr>
        <w:tab/>
      </w:r>
      <w:r>
        <w:rPr>
          <w:rFonts w:ascii="Arial" w:hAnsi="Arial" w:cs="Arial"/>
          <w:sz w:val="24"/>
        </w:rPr>
        <w:tab/>
      </w:r>
      <w:r w:rsidRPr="00BB361E">
        <w:rPr>
          <w:rFonts w:ascii="Arial" w:hAnsi="Arial" w:cs="Arial"/>
          <w:sz w:val="24"/>
        </w:rPr>
        <w:t>154.17</w:t>
      </w:r>
    </w:p>
    <w:p w:rsidR="00855B6E" w:rsidRDefault="00855B6E" w:rsidP="00855B6E">
      <w:pPr>
        <w:autoSpaceDE w:val="0"/>
        <w:autoSpaceDN w:val="0"/>
        <w:adjustRightInd w:val="0"/>
        <w:rPr>
          <w:rFonts w:ascii="Arial" w:hAnsi="Arial" w:cs="Arial"/>
          <w:sz w:val="24"/>
        </w:rPr>
      </w:pPr>
      <w:r w:rsidRPr="00BB361E">
        <w:rPr>
          <w:rFonts w:ascii="Arial" w:hAnsi="Arial" w:cs="Arial"/>
          <w:sz w:val="24"/>
        </w:rPr>
        <w:t>63365</w:t>
      </w:r>
      <w:r>
        <w:rPr>
          <w:rFonts w:ascii="Arial" w:hAnsi="Arial" w:cs="Arial"/>
          <w:sz w:val="24"/>
        </w:rPr>
        <w:t xml:space="preserve"> - </w:t>
      </w:r>
      <w:r w:rsidRPr="00BB361E">
        <w:rPr>
          <w:rFonts w:ascii="Arial" w:hAnsi="Arial" w:cs="Arial"/>
          <w:sz w:val="24"/>
        </w:rPr>
        <w:t>Special Oper Living Allow-IP</w:t>
      </w:r>
      <w:r>
        <w:rPr>
          <w:rFonts w:ascii="Arial" w:hAnsi="Arial" w:cs="Arial"/>
          <w:sz w:val="24"/>
        </w:rPr>
        <w:tab/>
      </w:r>
      <w:r>
        <w:rPr>
          <w:rFonts w:ascii="Arial" w:hAnsi="Arial" w:cs="Arial"/>
          <w:sz w:val="24"/>
        </w:rPr>
        <w:tab/>
      </w:r>
      <w:r>
        <w:rPr>
          <w:rFonts w:ascii="Arial" w:hAnsi="Arial" w:cs="Arial"/>
          <w:sz w:val="24"/>
        </w:rPr>
        <w:tab/>
      </w:r>
      <w:r w:rsidRPr="00BB361E">
        <w:rPr>
          <w:rFonts w:ascii="Arial" w:hAnsi="Arial" w:cs="Arial"/>
          <w:sz w:val="24"/>
        </w:rPr>
        <w:t>1</w:t>
      </w:r>
      <w:r>
        <w:rPr>
          <w:rFonts w:ascii="Arial" w:hAnsi="Arial" w:cs="Arial"/>
          <w:sz w:val="24"/>
        </w:rPr>
        <w:t>,</w:t>
      </w:r>
      <w:r w:rsidRPr="00BB361E">
        <w:rPr>
          <w:rFonts w:ascii="Arial" w:hAnsi="Arial" w:cs="Arial"/>
          <w:sz w:val="24"/>
        </w:rPr>
        <w:t>728.97</w:t>
      </w:r>
    </w:p>
    <w:p w:rsidR="00855B6E" w:rsidRDefault="00855B6E" w:rsidP="00855B6E">
      <w:pPr>
        <w:autoSpaceDE w:val="0"/>
        <w:autoSpaceDN w:val="0"/>
        <w:adjustRightInd w:val="0"/>
        <w:rPr>
          <w:rFonts w:ascii="Arial" w:hAnsi="Arial" w:cs="Arial"/>
          <w:sz w:val="24"/>
        </w:rPr>
      </w:pPr>
      <w:r w:rsidRPr="00BB361E">
        <w:rPr>
          <w:rFonts w:ascii="Arial" w:hAnsi="Arial" w:cs="Arial"/>
          <w:sz w:val="24"/>
        </w:rPr>
        <w:t>63530</w:t>
      </w:r>
      <w:r>
        <w:rPr>
          <w:rFonts w:ascii="Arial" w:hAnsi="Arial" w:cs="Arial"/>
          <w:sz w:val="24"/>
        </w:rPr>
        <w:t xml:space="preserve"> - </w:t>
      </w:r>
      <w:r w:rsidRPr="00BB361E">
        <w:rPr>
          <w:rFonts w:ascii="Arial" w:hAnsi="Arial" w:cs="Arial"/>
          <w:sz w:val="24"/>
        </w:rPr>
        <w:t>Contribution to EOS Benefits</w:t>
      </w:r>
      <w:r>
        <w:rPr>
          <w:rFonts w:ascii="Arial" w:hAnsi="Arial" w:cs="Arial"/>
          <w:sz w:val="24"/>
        </w:rPr>
        <w:tab/>
      </w:r>
      <w:r>
        <w:rPr>
          <w:rFonts w:ascii="Arial" w:hAnsi="Arial" w:cs="Arial"/>
          <w:sz w:val="24"/>
        </w:rPr>
        <w:tab/>
      </w:r>
      <w:r>
        <w:rPr>
          <w:rFonts w:ascii="Arial" w:hAnsi="Arial" w:cs="Arial"/>
          <w:sz w:val="24"/>
        </w:rPr>
        <w:tab/>
      </w:r>
      <w:r w:rsidRPr="00BB361E">
        <w:rPr>
          <w:rFonts w:ascii="Arial" w:hAnsi="Arial" w:cs="Arial"/>
          <w:sz w:val="24"/>
        </w:rPr>
        <w:t>651.09</w:t>
      </w:r>
    </w:p>
    <w:p w:rsidR="00855B6E" w:rsidRDefault="00855B6E" w:rsidP="00855B6E">
      <w:pPr>
        <w:autoSpaceDE w:val="0"/>
        <w:autoSpaceDN w:val="0"/>
        <w:adjustRightInd w:val="0"/>
        <w:rPr>
          <w:rFonts w:ascii="Arial" w:hAnsi="Arial" w:cs="Arial"/>
          <w:sz w:val="24"/>
        </w:rPr>
      </w:pPr>
      <w:r w:rsidRPr="00BB361E">
        <w:rPr>
          <w:rFonts w:ascii="Arial" w:hAnsi="Arial" w:cs="Arial"/>
          <w:sz w:val="24"/>
        </w:rPr>
        <w:t>63535</w:t>
      </w:r>
      <w:r>
        <w:rPr>
          <w:rFonts w:ascii="Arial" w:hAnsi="Arial" w:cs="Arial"/>
          <w:sz w:val="24"/>
        </w:rPr>
        <w:t xml:space="preserve"> - </w:t>
      </w:r>
      <w:r w:rsidRPr="00BB361E">
        <w:rPr>
          <w:rFonts w:ascii="Arial" w:hAnsi="Arial" w:cs="Arial"/>
          <w:sz w:val="24"/>
        </w:rPr>
        <w:t>Contribution to Security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BB361E">
        <w:rPr>
          <w:rFonts w:ascii="Arial" w:hAnsi="Arial" w:cs="Arial"/>
          <w:sz w:val="24"/>
        </w:rPr>
        <w:t>1</w:t>
      </w:r>
      <w:r>
        <w:rPr>
          <w:rFonts w:ascii="Arial" w:hAnsi="Arial" w:cs="Arial"/>
          <w:sz w:val="24"/>
        </w:rPr>
        <w:t>,</w:t>
      </w:r>
      <w:r w:rsidRPr="00BB361E">
        <w:rPr>
          <w:rFonts w:ascii="Arial" w:hAnsi="Arial" w:cs="Arial"/>
          <w:sz w:val="24"/>
        </w:rPr>
        <w:t>041.74</w:t>
      </w:r>
    </w:p>
    <w:p w:rsidR="00855B6E" w:rsidRDefault="00855B6E" w:rsidP="00855B6E">
      <w:pPr>
        <w:autoSpaceDE w:val="0"/>
        <w:autoSpaceDN w:val="0"/>
        <w:adjustRightInd w:val="0"/>
        <w:rPr>
          <w:rFonts w:ascii="Arial" w:hAnsi="Arial" w:cs="Arial"/>
          <w:sz w:val="24"/>
        </w:rPr>
      </w:pPr>
      <w:r w:rsidRPr="00BB361E">
        <w:rPr>
          <w:rFonts w:ascii="Arial" w:hAnsi="Arial" w:cs="Arial"/>
          <w:sz w:val="24"/>
        </w:rPr>
        <w:t>63545</w:t>
      </w:r>
      <w:r>
        <w:rPr>
          <w:rFonts w:ascii="Arial" w:hAnsi="Arial" w:cs="Arial"/>
          <w:sz w:val="24"/>
        </w:rPr>
        <w:t xml:space="preserve"> - </w:t>
      </w:r>
      <w:r w:rsidRPr="00BB361E">
        <w:rPr>
          <w:rFonts w:ascii="Arial" w:hAnsi="Arial" w:cs="Arial"/>
          <w:sz w:val="24"/>
        </w:rPr>
        <w:t>Contribution to ICT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BB361E">
        <w:rPr>
          <w:rFonts w:ascii="Arial" w:hAnsi="Arial" w:cs="Arial"/>
          <w:sz w:val="24"/>
        </w:rPr>
        <w:t>390.65</w:t>
      </w:r>
    </w:p>
    <w:p w:rsidR="00855B6E" w:rsidRDefault="00855B6E" w:rsidP="00855B6E">
      <w:pPr>
        <w:autoSpaceDE w:val="0"/>
        <w:autoSpaceDN w:val="0"/>
        <w:adjustRightInd w:val="0"/>
        <w:rPr>
          <w:rFonts w:ascii="Arial" w:hAnsi="Arial" w:cs="Arial"/>
          <w:sz w:val="24"/>
        </w:rPr>
      </w:pPr>
      <w:r w:rsidRPr="00BB361E">
        <w:rPr>
          <w:rFonts w:ascii="Arial" w:hAnsi="Arial" w:cs="Arial"/>
          <w:sz w:val="24"/>
        </w:rPr>
        <w:t>63550</w:t>
      </w:r>
      <w:r>
        <w:rPr>
          <w:rFonts w:ascii="Arial" w:hAnsi="Arial" w:cs="Arial"/>
          <w:sz w:val="24"/>
        </w:rPr>
        <w:t xml:space="preserve"> - </w:t>
      </w:r>
      <w:r w:rsidRPr="00BB361E">
        <w:rPr>
          <w:rFonts w:ascii="Arial" w:hAnsi="Arial" w:cs="Arial"/>
          <w:sz w:val="24"/>
        </w:rPr>
        <w:t>Contributions to MAIP</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BB361E">
        <w:rPr>
          <w:rFonts w:ascii="Arial" w:hAnsi="Arial" w:cs="Arial"/>
          <w:sz w:val="24"/>
        </w:rPr>
        <w:t>52.09</w:t>
      </w:r>
    </w:p>
    <w:p w:rsidR="00855B6E" w:rsidRDefault="00855B6E" w:rsidP="00855B6E">
      <w:pPr>
        <w:autoSpaceDE w:val="0"/>
        <w:autoSpaceDN w:val="0"/>
        <w:adjustRightInd w:val="0"/>
        <w:rPr>
          <w:rFonts w:ascii="Arial" w:hAnsi="Arial" w:cs="Arial"/>
          <w:sz w:val="24"/>
        </w:rPr>
      </w:pPr>
      <w:r w:rsidRPr="00BB361E">
        <w:rPr>
          <w:rFonts w:ascii="Arial" w:hAnsi="Arial" w:cs="Arial"/>
          <w:sz w:val="24"/>
        </w:rPr>
        <w:t>63555</w:t>
      </w:r>
      <w:r>
        <w:rPr>
          <w:rFonts w:ascii="Arial" w:hAnsi="Arial" w:cs="Arial"/>
          <w:sz w:val="24"/>
        </w:rPr>
        <w:t xml:space="preserve"> - </w:t>
      </w:r>
      <w:r w:rsidRPr="00BB361E">
        <w:rPr>
          <w:rFonts w:ascii="Arial" w:hAnsi="Arial" w:cs="Arial"/>
          <w:sz w:val="24"/>
        </w:rPr>
        <w:t>Contribution to UN JFA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BB361E">
        <w:rPr>
          <w:rFonts w:ascii="Arial" w:hAnsi="Arial" w:cs="Arial"/>
          <w:sz w:val="24"/>
        </w:rPr>
        <w:t>468.78</w:t>
      </w:r>
    </w:p>
    <w:p w:rsidR="00855B6E" w:rsidRDefault="00855B6E" w:rsidP="00855B6E">
      <w:pPr>
        <w:autoSpaceDE w:val="0"/>
        <w:autoSpaceDN w:val="0"/>
        <w:adjustRightInd w:val="0"/>
        <w:rPr>
          <w:rFonts w:ascii="Arial" w:hAnsi="Arial" w:cs="Arial"/>
          <w:sz w:val="24"/>
        </w:rPr>
      </w:pPr>
      <w:r w:rsidRPr="00BB361E">
        <w:rPr>
          <w:rFonts w:ascii="Arial" w:hAnsi="Arial" w:cs="Arial"/>
          <w:sz w:val="24"/>
        </w:rPr>
        <w:t>63560</w:t>
      </w:r>
      <w:r>
        <w:rPr>
          <w:rFonts w:ascii="Arial" w:hAnsi="Arial" w:cs="Arial"/>
          <w:sz w:val="24"/>
        </w:rPr>
        <w:t xml:space="preserve"> - </w:t>
      </w:r>
      <w:r w:rsidRPr="00BB361E">
        <w:rPr>
          <w:rFonts w:ascii="Arial" w:hAnsi="Arial" w:cs="Arial"/>
          <w:sz w:val="24"/>
        </w:rPr>
        <w:t>Contributions to Appendix D</w:t>
      </w:r>
      <w:r>
        <w:rPr>
          <w:rFonts w:ascii="Arial" w:hAnsi="Arial" w:cs="Arial"/>
          <w:sz w:val="24"/>
        </w:rPr>
        <w:tab/>
      </w:r>
      <w:r>
        <w:rPr>
          <w:rFonts w:ascii="Arial" w:hAnsi="Arial" w:cs="Arial"/>
          <w:sz w:val="24"/>
        </w:rPr>
        <w:tab/>
      </w:r>
      <w:r>
        <w:rPr>
          <w:rFonts w:ascii="Arial" w:hAnsi="Arial" w:cs="Arial"/>
          <w:sz w:val="24"/>
        </w:rPr>
        <w:tab/>
      </w:r>
      <w:r w:rsidRPr="00BB361E">
        <w:rPr>
          <w:rFonts w:ascii="Arial" w:hAnsi="Arial" w:cs="Arial"/>
          <w:sz w:val="24"/>
        </w:rPr>
        <w:t>78.13</w:t>
      </w:r>
    </w:p>
    <w:p w:rsidR="00855B6E" w:rsidRPr="007B0AC9" w:rsidRDefault="00855B6E" w:rsidP="00855B6E">
      <w:pPr>
        <w:autoSpaceDE w:val="0"/>
        <w:autoSpaceDN w:val="0"/>
        <w:adjustRightInd w:val="0"/>
        <w:rPr>
          <w:rFonts w:ascii="Arial" w:hAnsi="Arial" w:cs="Arial"/>
          <w:sz w:val="24"/>
        </w:rPr>
      </w:pPr>
      <w:r w:rsidRPr="007B0AC9">
        <w:rPr>
          <w:rFonts w:ascii="Arial" w:hAnsi="Arial" w:cs="Arial"/>
          <w:sz w:val="24"/>
        </w:rPr>
        <w:t xml:space="preserve">64307 - Appointment-Subsistence Allow </w:t>
      </w:r>
      <w:r w:rsidRPr="007B0AC9">
        <w:rPr>
          <w:rFonts w:ascii="Arial" w:hAnsi="Arial" w:cs="Arial"/>
          <w:sz w:val="24"/>
        </w:rPr>
        <w:tab/>
      </w:r>
      <w:r w:rsidRPr="007B0AC9">
        <w:rPr>
          <w:rFonts w:ascii="Arial" w:hAnsi="Arial" w:cs="Arial"/>
          <w:sz w:val="24"/>
        </w:rPr>
        <w:tab/>
      </w:r>
      <w:r>
        <w:rPr>
          <w:rFonts w:ascii="Arial" w:hAnsi="Arial" w:cs="Arial"/>
          <w:sz w:val="24"/>
        </w:rPr>
        <w:t>16,974.89</w:t>
      </w:r>
    </w:p>
    <w:p w:rsidR="00855B6E" w:rsidRPr="007B0AC9" w:rsidRDefault="00855B6E" w:rsidP="00855B6E">
      <w:pPr>
        <w:autoSpaceDE w:val="0"/>
        <w:autoSpaceDN w:val="0"/>
        <w:adjustRightInd w:val="0"/>
        <w:rPr>
          <w:rFonts w:ascii="Arial" w:hAnsi="Arial" w:cs="Arial"/>
          <w:sz w:val="24"/>
        </w:rPr>
      </w:pPr>
      <w:r w:rsidRPr="007B0AC9">
        <w:rPr>
          <w:rFonts w:ascii="Arial" w:hAnsi="Arial" w:cs="Arial"/>
          <w:sz w:val="24"/>
        </w:rPr>
        <w:t xml:space="preserve">64308 - Appointments-Lump Sum </w:t>
      </w:r>
      <w:r w:rsidRPr="007B0AC9">
        <w:rPr>
          <w:rFonts w:ascii="Arial" w:hAnsi="Arial" w:cs="Arial"/>
          <w:sz w:val="24"/>
        </w:rPr>
        <w:tab/>
      </w:r>
      <w:r w:rsidRPr="007B0AC9">
        <w:rPr>
          <w:rFonts w:ascii="Arial" w:hAnsi="Arial" w:cs="Arial"/>
          <w:sz w:val="24"/>
        </w:rPr>
        <w:tab/>
      </w:r>
      <w:r w:rsidRPr="007B0AC9">
        <w:rPr>
          <w:rFonts w:ascii="Arial" w:hAnsi="Arial" w:cs="Arial"/>
          <w:sz w:val="24"/>
        </w:rPr>
        <w:tab/>
      </w:r>
      <w:r>
        <w:rPr>
          <w:rFonts w:ascii="Arial" w:hAnsi="Arial" w:cs="Arial"/>
          <w:sz w:val="24"/>
        </w:rPr>
        <w:t>16,974.89</w:t>
      </w:r>
    </w:p>
    <w:p w:rsidR="00855B6E" w:rsidRPr="007B0AC9" w:rsidRDefault="00855B6E" w:rsidP="00855B6E">
      <w:pPr>
        <w:autoSpaceDE w:val="0"/>
        <w:autoSpaceDN w:val="0"/>
        <w:adjustRightInd w:val="0"/>
        <w:rPr>
          <w:rFonts w:ascii="Arial" w:hAnsi="Arial" w:cs="Arial"/>
          <w:sz w:val="24"/>
        </w:rPr>
      </w:pPr>
      <w:r w:rsidRPr="007B0AC9">
        <w:rPr>
          <w:rFonts w:ascii="Arial" w:hAnsi="Arial" w:cs="Arial"/>
          <w:sz w:val="24"/>
        </w:rPr>
        <w:t>64309 - Appointment-Shipments</w:t>
      </w:r>
      <w:r w:rsidRPr="007B0AC9">
        <w:rPr>
          <w:rFonts w:ascii="Arial" w:hAnsi="Arial" w:cs="Arial"/>
          <w:sz w:val="24"/>
        </w:rPr>
        <w:tab/>
      </w:r>
      <w:r w:rsidRPr="007B0AC9">
        <w:rPr>
          <w:rFonts w:ascii="Arial" w:hAnsi="Arial" w:cs="Arial"/>
          <w:sz w:val="24"/>
        </w:rPr>
        <w:tab/>
      </w:r>
      <w:r w:rsidRPr="007B0AC9">
        <w:rPr>
          <w:rFonts w:ascii="Arial" w:hAnsi="Arial" w:cs="Arial"/>
          <w:sz w:val="24"/>
        </w:rPr>
        <w:tab/>
        <w:t xml:space="preserve"> </w:t>
      </w:r>
      <w:r>
        <w:rPr>
          <w:rFonts w:ascii="Arial" w:hAnsi="Arial" w:cs="Arial"/>
          <w:sz w:val="24"/>
        </w:rPr>
        <w:tab/>
      </w:r>
      <w:r w:rsidRPr="000B1971">
        <w:rPr>
          <w:rFonts w:ascii="Arial" w:hAnsi="Arial" w:cs="Arial"/>
          <w:sz w:val="24"/>
        </w:rPr>
        <w:t>6</w:t>
      </w:r>
      <w:r>
        <w:rPr>
          <w:rFonts w:ascii="Arial" w:hAnsi="Arial" w:cs="Arial"/>
          <w:sz w:val="24"/>
        </w:rPr>
        <w:t>,</w:t>
      </w:r>
      <w:r w:rsidRPr="000B1971">
        <w:rPr>
          <w:rFonts w:ascii="Arial" w:hAnsi="Arial" w:cs="Arial"/>
          <w:sz w:val="24"/>
        </w:rPr>
        <w:t>255.33</w:t>
      </w:r>
    </w:p>
    <w:p w:rsidR="00855B6E" w:rsidRPr="007B0AC9" w:rsidRDefault="00855B6E" w:rsidP="00855B6E">
      <w:pPr>
        <w:autoSpaceDE w:val="0"/>
        <w:autoSpaceDN w:val="0"/>
        <w:adjustRightInd w:val="0"/>
        <w:rPr>
          <w:rFonts w:ascii="Arial" w:hAnsi="Arial" w:cs="Arial"/>
          <w:sz w:val="24"/>
        </w:rPr>
      </w:pPr>
      <w:r w:rsidRPr="007B0AC9">
        <w:rPr>
          <w:rFonts w:ascii="Arial" w:hAnsi="Arial" w:cs="Arial"/>
          <w:sz w:val="24"/>
        </w:rPr>
        <w:t>64340 - Staff related Cost-Others</w:t>
      </w:r>
      <w:r w:rsidRPr="007B0AC9">
        <w:rPr>
          <w:rFonts w:ascii="Arial" w:hAnsi="Arial" w:cs="Arial"/>
          <w:sz w:val="24"/>
        </w:rPr>
        <w:tab/>
      </w:r>
      <w:r w:rsidRPr="007B0AC9">
        <w:rPr>
          <w:rFonts w:ascii="Arial" w:hAnsi="Arial" w:cs="Arial"/>
          <w:sz w:val="24"/>
        </w:rPr>
        <w:tab/>
      </w:r>
      <w:r w:rsidRPr="007B0AC9">
        <w:rPr>
          <w:rFonts w:ascii="Arial" w:hAnsi="Arial" w:cs="Arial"/>
          <w:sz w:val="24"/>
        </w:rPr>
        <w:tab/>
        <w:t xml:space="preserve"> </w:t>
      </w:r>
      <w:r>
        <w:rPr>
          <w:rFonts w:ascii="Arial" w:hAnsi="Arial" w:cs="Arial"/>
          <w:sz w:val="24"/>
        </w:rPr>
        <w:tab/>
      </w:r>
      <w:r w:rsidRPr="007B0AC9">
        <w:rPr>
          <w:rFonts w:ascii="Arial" w:hAnsi="Arial" w:cs="Arial"/>
          <w:sz w:val="24"/>
        </w:rPr>
        <w:t>6,000.00</w:t>
      </w:r>
    </w:p>
    <w:p w:rsidR="00855B6E" w:rsidRDefault="00855B6E" w:rsidP="00855B6E">
      <w:pPr>
        <w:autoSpaceDE w:val="0"/>
        <w:autoSpaceDN w:val="0"/>
        <w:adjustRightInd w:val="0"/>
        <w:rPr>
          <w:rFonts w:ascii="Arial" w:hAnsi="Arial" w:cs="Arial"/>
          <w:sz w:val="24"/>
        </w:rPr>
      </w:pPr>
      <w:r w:rsidRPr="000B1971">
        <w:rPr>
          <w:rFonts w:ascii="Arial" w:hAnsi="Arial" w:cs="Arial"/>
          <w:sz w:val="24"/>
        </w:rPr>
        <w:t>65115</w:t>
      </w:r>
      <w:r>
        <w:rPr>
          <w:rFonts w:ascii="Arial" w:hAnsi="Arial" w:cs="Arial"/>
          <w:sz w:val="24"/>
        </w:rPr>
        <w:t xml:space="preserve"> - </w:t>
      </w:r>
      <w:r w:rsidRPr="000B1971">
        <w:rPr>
          <w:rFonts w:ascii="Arial" w:hAnsi="Arial" w:cs="Arial"/>
          <w:sz w:val="24"/>
        </w:rPr>
        <w:t>Contributions to ASHI Reserve</w:t>
      </w:r>
      <w:r>
        <w:rPr>
          <w:rFonts w:ascii="Arial" w:hAnsi="Arial" w:cs="Arial"/>
          <w:sz w:val="24"/>
        </w:rPr>
        <w:tab/>
      </w:r>
      <w:r>
        <w:rPr>
          <w:rFonts w:ascii="Arial" w:hAnsi="Arial" w:cs="Arial"/>
          <w:sz w:val="24"/>
        </w:rPr>
        <w:tab/>
      </w:r>
      <w:r>
        <w:rPr>
          <w:rFonts w:ascii="Arial" w:hAnsi="Arial" w:cs="Arial"/>
          <w:sz w:val="24"/>
        </w:rPr>
        <w:tab/>
      </w:r>
      <w:r w:rsidRPr="000B1971">
        <w:rPr>
          <w:rFonts w:ascii="Arial" w:hAnsi="Arial" w:cs="Arial"/>
          <w:sz w:val="24"/>
        </w:rPr>
        <w:t>1</w:t>
      </w:r>
      <w:r>
        <w:rPr>
          <w:rFonts w:ascii="Arial" w:hAnsi="Arial" w:cs="Arial"/>
          <w:sz w:val="24"/>
        </w:rPr>
        <w:t>,</w:t>
      </w:r>
      <w:r w:rsidRPr="000B1971">
        <w:rPr>
          <w:rFonts w:ascii="Arial" w:hAnsi="Arial" w:cs="Arial"/>
          <w:sz w:val="24"/>
        </w:rPr>
        <w:t>692.83</w:t>
      </w:r>
    </w:p>
    <w:p w:rsidR="00855B6E" w:rsidRDefault="00855B6E" w:rsidP="00855B6E">
      <w:pPr>
        <w:autoSpaceDE w:val="0"/>
        <w:autoSpaceDN w:val="0"/>
        <w:adjustRightInd w:val="0"/>
        <w:rPr>
          <w:rFonts w:ascii="Arial" w:hAnsi="Arial" w:cs="Arial"/>
          <w:sz w:val="24"/>
        </w:rPr>
      </w:pPr>
      <w:r w:rsidRPr="000B1971">
        <w:rPr>
          <w:rFonts w:ascii="Arial" w:hAnsi="Arial" w:cs="Arial"/>
          <w:sz w:val="24"/>
        </w:rPr>
        <w:t>65135</w:t>
      </w:r>
      <w:r>
        <w:rPr>
          <w:rFonts w:ascii="Arial" w:hAnsi="Arial" w:cs="Arial"/>
          <w:sz w:val="24"/>
        </w:rPr>
        <w:t xml:space="preserve"> - </w:t>
      </w:r>
      <w:r w:rsidRPr="000B1971">
        <w:rPr>
          <w:rFonts w:ascii="Arial" w:hAnsi="Arial" w:cs="Arial"/>
          <w:sz w:val="24"/>
        </w:rPr>
        <w:t>Payroll Mgt Cost Recovery ATLA</w:t>
      </w:r>
      <w:r>
        <w:rPr>
          <w:rFonts w:ascii="Arial" w:hAnsi="Arial" w:cs="Arial"/>
          <w:sz w:val="24"/>
        </w:rPr>
        <w:tab/>
      </w:r>
      <w:r>
        <w:rPr>
          <w:rFonts w:ascii="Arial" w:hAnsi="Arial" w:cs="Arial"/>
          <w:sz w:val="24"/>
        </w:rPr>
        <w:tab/>
      </w:r>
      <w:r w:rsidRPr="000B1971">
        <w:rPr>
          <w:rFonts w:ascii="Arial" w:hAnsi="Arial" w:cs="Arial"/>
          <w:sz w:val="24"/>
        </w:rPr>
        <w:t>64.38</w:t>
      </w:r>
      <w:r>
        <w:rPr>
          <w:rFonts w:ascii="Arial" w:hAnsi="Arial" w:cs="Arial"/>
          <w:sz w:val="24"/>
        </w:rPr>
        <w:tab/>
      </w:r>
    </w:p>
    <w:p w:rsidR="00855B6E" w:rsidRDefault="00855B6E" w:rsidP="00855B6E">
      <w:pPr>
        <w:autoSpaceDE w:val="0"/>
        <w:autoSpaceDN w:val="0"/>
        <w:adjustRightInd w:val="0"/>
        <w:rPr>
          <w:rFonts w:ascii="Arial" w:hAnsi="Arial" w:cs="Arial"/>
          <w:sz w:val="24"/>
        </w:rPr>
      </w:pPr>
      <w:r w:rsidRPr="007B0AC9">
        <w:rPr>
          <w:rFonts w:ascii="Arial" w:hAnsi="Arial" w:cs="Arial"/>
          <w:sz w:val="24"/>
        </w:rPr>
        <w:t>71205 - Intl Consultants-Sht Term-Tech</w:t>
      </w:r>
      <w:r>
        <w:rPr>
          <w:rFonts w:ascii="Arial" w:hAnsi="Arial" w:cs="Arial"/>
          <w:sz w:val="24"/>
        </w:rPr>
        <w:tab/>
      </w:r>
      <w:r>
        <w:rPr>
          <w:rFonts w:ascii="Arial" w:hAnsi="Arial" w:cs="Arial"/>
          <w:sz w:val="24"/>
        </w:rPr>
        <w:tab/>
      </w:r>
      <w:r>
        <w:rPr>
          <w:rFonts w:ascii="Arial" w:hAnsi="Arial" w:cs="Arial"/>
          <w:sz w:val="24"/>
        </w:rPr>
        <w:tab/>
      </w:r>
      <w:r w:rsidRPr="007B0AC9">
        <w:rPr>
          <w:rFonts w:ascii="Arial" w:hAnsi="Arial" w:cs="Arial"/>
          <w:sz w:val="24"/>
        </w:rPr>
        <w:t>2,000.00</w:t>
      </w:r>
    </w:p>
    <w:p w:rsidR="00855B6E" w:rsidRPr="007B0AC9" w:rsidRDefault="00855B6E" w:rsidP="00855B6E">
      <w:pPr>
        <w:autoSpaceDE w:val="0"/>
        <w:autoSpaceDN w:val="0"/>
        <w:adjustRightInd w:val="0"/>
        <w:rPr>
          <w:rFonts w:ascii="Arial" w:hAnsi="Arial" w:cs="Arial"/>
          <w:sz w:val="24"/>
        </w:rPr>
      </w:pPr>
      <w:r w:rsidRPr="007B0AC9">
        <w:rPr>
          <w:rFonts w:ascii="Arial" w:hAnsi="Arial" w:cs="Arial"/>
          <w:sz w:val="24"/>
        </w:rPr>
        <w:t xml:space="preserve">71405 - Service Contracts-Individuals </w:t>
      </w:r>
      <w:r w:rsidRPr="007B0AC9">
        <w:rPr>
          <w:rFonts w:ascii="Arial" w:hAnsi="Arial" w:cs="Arial"/>
          <w:sz w:val="24"/>
        </w:rPr>
        <w:tab/>
      </w:r>
      <w:r w:rsidRPr="007B0AC9">
        <w:rPr>
          <w:rFonts w:ascii="Arial" w:hAnsi="Arial" w:cs="Arial"/>
          <w:sz w:val="24"/>
        </w:rPr>
        <w:tab/>
      </w:r>
      <w:r w:rsidRPr="007B0AC9">
        <w:rPr>
          <w:rFonts w:ascii="Arial" w:hAnsi="Arial" w:cs="Arial"/>
          <w:sz w:val="24"/>
        </w:rPr>
        <w:tab/>
        <w:t>1,634.92</w:t>
      </w:r>
    </w:p>
    <w:p w:rsidR="00855B6E" w:rsidRPr="007B0AC9" w:rsidRDefault="00855B6E" w:rsidP="00855B6E">
      <w:pPr>
        <w:autoSpaceDE w:val="0"/>
        <w:autoSpaceDN w:val="0"/>
        <w:adjustRightInd w:val="0"/>
        <w:rPr>
          <w:rFonts w:ascii="Arial" w:hAnsi="Arial" w:cs="Arial"/>
          <w:sz w:val="24"/>
        </w:rPr>
      </w:pPr>
      <w:r w:rsidRPr="00840A5F">
        <w:rPr>
          <w:rFonts w:ascii="Arial" w:hAnsi="Arial" w:cs="Arial"/>
          <w:sz w:val="24"/>
        </w:rPr>
        <w:t>71605 - Travel Tickets-International</w:t>
      </w:r>
      <w:r w:rsidRPr="00840A5F">
        <w:rPr>
          <w:rFonts w:ascii="Arial" w:hAnsi="Arial" w:cs="Arial"/>
          <w:sz w:val="24"/>
        </w:rPr>
        <w:tab/>
      </w:r>
      <w:r w:rsidRPr="00840A5F">
        <w:rPr>
          <w:rFonts w:ascii="Arial" w:hAnsi="Arial" w:cs="Arial"/>
          <w:sz w:val="24"/>
        </w:rPr>
        <w:tab/>
      </w:r>
      <w:r w:rsidRPr="00840A5F">
        <w:rPr>
          <w:rFonts w:ascii="Arial" w:hAnsi="Arial" w:cs="Arial"/>
          <w:sz w:val="24"/>
        </w:rPr>
        <w:tab/>
        <w:t>2,600.83</w:t>
      </w:r>
    </w:p>
    <w:p w:rsidR="00855B6E" w:rsidRPr="007B0AC9" w:rsidRDefault="00855B6E" w:rsidP="00855B6E">
      <w:pPr>
        <w:autoSpaceDE w:val="0"/>
        <w:autoSpaceDN w:val="0"/>
        <w:adjustRightInd w:val="0"/>
        <w:rPr>
          <w:rFonts w:ascii="Arial" w:hAnsi="Arial" w:cs="Arial"/>
          <w:sz w:val="24"/>
        </w:rPr>
      </w:pPr>
      <w:r w:rsidRPr="007B0AC9">
        <w:rPr>
          <w:rFonts w:ascii="Arial" w:hAnsi="Arial" w:cs="Arial"/>
          <w:sz w:val="24"/>
        </w:rPr>
        <w:t>71615 - Daily Subsistence Allow-Intl</w:t>
      </w:r>
      <w:r w:rsidRPr="007B0AC9">
        <w:rPr>
          <w:rFonts w:ascii="Arial" w:hAnsi="Arial" w:cs="Arial"/>
          <w:sz w:val="24"/>
        </w:rPr>
        <w:tab/>
      </w:r>
      <w:r w:rsidRPr="007B0AC9">
        <w:rPr>
          <w:rFonts w:ascii="Arial" w:hAnsi="Arial" w:cs="Arial"/>
          <w:sz w:val="24"/>
        </w:rPr>
        <w:tab/>
      </w:r>
      <w:r w:rsidRPr="007B0AC9">
        <w:rPr>
          <w:rFonts w:ascii="Arial" w:hAnsi="Arial" w:cs="Arial"/>
          <w:sz w:val="24"/>
        </w:rPr>
        <w:tab/>
      </w:r>
      <w:r>
        <w:rPr>
          <w:rFonts w:ascii="Arial" w:hAnsi="Arial" w:cs="Arial"/>
          <w:sz w:val="24"/>
        </w:rPr>
        <w:t>1,499.10</w:t>
      </w:r>
    </w:p>
    <w:p w:rsidR="00855B6E" w:rsidRPr="007B0AC9" w:rsidRDefault="00855B6E" w:rsidP="00855B6E">
      <w:pPr>
        <w:autoSpaceDE w:val="0"/>
        <w:autoSpaceDN w:val="0"/>
        <w:adjustRightInd w:val="0"/>
        <w:rPr>
          <w:rFonts w:ascii="Arial" w:hAnsi="Arial" w:cs="Arial"/>
          <w:sz w:val="24"/>
        </w:rPr>
      </w:pPr>
      <w:r w:rsidRPr="007B0AC9">
        <w:rPr>
          <w:rFonts w:ascii="Arial" w:hAnsi="Arial" w:cs="Arial"/>
          <w:sz w:val="24"/>
        </w:rPr>
        <w:t xml:space="preserve">71620 - Daily Subsistence Allow-Local </w:t>
      </w:r>
      <w:r w:rsidRPr="007B0AC9">
        <w:rPr>
          <w:rFonts w:ascii="Arial" w:hAnsi="Arial" w:cs="Arial"/>
          <w:sz w:val="24"/>
        </w:rPr>
        <w:tab/>
      </w:r>
      <w:r w:rsidRPr="007B0AC9">
        <w:rPr>
          <w:rFonts w:ascii="Arial" w:hAnsi="Arial" w:cs="Arial"/>
          <w:sz w:val="24"/>
        </w:rPr>
        <w:tab/>
      </w:r>
      <w:r w:rsidRPr="007B0AC9">
        <w:rPr>
          <w:rFonts w:ascii="Arial" w:hAnsi="Arial" w:cs="Arial"/>
          <w:sz w:val="24"/>
        </w:rPr>
        <w:tab/>
        <w:t>2,862.64</w:t>
      </w:r>
    </w:p>
    <w:p w:rsidR="00855B6E" w:rsidRPr="007B0AC9" w:rsidRDefault="00855B6E" w:rsidP="00855B6E">
      <w:pPr>
        <w:autoSpaceDE w:val="0"/>
        <w:autoSpaceDN w:val="0"/>
        <w:adjustRightInd w:val="0"/>
        <w:rPr>
          <w:rFonts w:ascii="Arial" w:hAnsi="Arial" w:cs="Arial"/>
          <w:sz w:val="24"/>
        </w:rPr>
      </w:pPr>
      <w:r w:rsidRPr="007B0AC9">
        <w:rPr>
          <w:rFonts w:ascii="Arial" w:hAnsi="Arial" w:cs="Arial"/>
          <w:sz w:val="24"/>
        </w:rPr>
        <w:t>71635 - Travel – Other</w:t>
      </w:r>
      <w:r w:rsidRPr="007B0AC9">
        <w:rPr>
          <w:rFonts w:ascii="Arial" w:hAnsi="Arial" w:cs="Arial"/>
          <w:sz w:val="24"/>
        </w:rPr>
        <w:tab/>
      </w:r>
      <w:r w:rsidRPr="007B0AC9">
        <w:rPr>
          <w:rFonts w:ascii="Arial" w:hAnsi="Arial" w:cs="Arial"/>
          <w:sz w:val="24"/>
        </w:rPr>
        <w:tab/>
      </w:r>
      <w:r w:rsidRPr="007B0AC9">
        <w:rPr>
          <w:rFonts w:ascii="Arial" w:hAnsi="Arial" w:cs="Arial"/>
          <w:sz w:val="24"/>
        </w:rPr>
        <w:tab/>
      </w:r>
      <w:r w:rsidRPr="007B0AC9">
        <w:rPr>
          <w:rFonts w:ascii="Arial" w:hAnsi="Arial" w:cs="Arial"/>
          <w:sz w:val="24"/>
        </w:rPr>
        <w:tab/>
      </w:r>
      <w:r>
        <w:rPr>
          <w:rFonts w:ascii="Arial" w:hAnsi="Arial" w:cs="Arial"/>
          <w:sz w:val="24"/>
        </w:rPr>
        <w:tab/>
        <w:t>13,019.19</w:t>
      </w:r>
    </w:p>
    <w:p w:rsidR="00855B6E" w:rsidRDefault="00855B6E" w:rsidP="00855B6E">
      <w:pPr>
        <w:autoSpaceDE w:val="0"/>
        <w:autoSpaceDN w:val="0"/>
        <w:adjustRightInd w:val="0"/>
        <w:rPr>
          <w:rFonts w:ascii="Arial" w:hAnsi="Arial" w:cs="Arial"/>
          <w:sz w:val="24"/>
        </w:rPr>
      </w:pPr>
      <w:r w:rsidRPr="007B0AC9">
        <w:rPr>
          <w:rFonts w:ascii="Arial" w:hAnsi="Arial" w:cs="Arial"/>
          <w:sz w:val="24"/>
        </w:rPr>
        <w:t>72120 - Svc Co-Trade and Business Serv</w:t>
      </w:r>
      <w:r>
        <w:rPr>
          <w:rFonts w:ascii="Arial" w:hAnsi="Arial" w:cs="Arial"/>
          <w:sz w:val="24"/>
        </w:rPr>
        <w:tab/>
      </w:r>
      <w:r>
        <w:rPr>
          <w:rFonts w:ascii="Arial" w:hAnsi="Arial" w:cs="Arial"/>
          <w:sz w:val="24"/>
        </w:rPr>
        <w:tab/>
      </w:r>
      <w:r w:rsidRPr="007B0AC9">
        <w:rPr>
          <w:rFonts w:ascii="Arial" w:hAnsi="Arial" w:cs="Arial"/>
          <w:sz w:val="24"/>
        </w:rPr>
        <w:t>83.60</w:t>
      </w:r>
    </w:p>
    <w:p w:rsidR="00855B6E" w:rsidRPr="007B0AC9" w:rsidRDefault="00855B6E" w:rsidP="00855B6E">
      <w:pPr>
        <w:autoSpaceDE w:val="0"/>
        <w:autoSpaceDN w:val="0"/>
        <w:adjustRightInd w:val="0"/>
        <w:rPr>
          <w:rFonts w:ascii="Arial" w:hAnsi="Arial" w:cs="Arial"/>
          <w:sz w:val="24"/>
        </w:rPr>
      </w:pPr>
      <w:r w:rsidRPr="007B0AC9">
        <w:rPr>
          <w:rFonts w:ascii="Arial" w:hAnsi="Arial" w:cs="Arial"/>
          <w:sz w:val="24"/>
        </w:rPr>
        <w:t xml:space="preserve">72425 -Mobile Telephone Charges </w:t>
      </w:r>
      <w:r w:rsidRPr="007B0AC9">
        <w:rPr>
          <w:rFonts w:ascii="Arial" w:hAnsi="Arial" w:cs="Arial"/>
          <w:sz w:val="24"/>
        </w:rPr>
        <w:tab/>
      </w:r>
      <w:r w:rsidRPr="007B0AC9">
        <w:rPr>
          <w:rFonts w:ascii="Arial" w:hAnsi="Arial" w:cs="Arial"/>
          <w:sz w:val="24"/>
        </w:rPr>
        <w:tab/>
      </w:r>
      <w:r w:rsidRPr="007B0AC9">
        <w:rPr>
          <w:rFonts w:ascii="Arial" w:hAnsi="Arial" w:cs="Arial"/>
          <w:sz w:val="24"/>
        </w:rPr>
        <w:tab/>
      </w:r>
      <w:r>
        <w:rPr>
          <w:rFonts w:ascii="Arial" w:hAnsi="Arial" w:cs="Arial"/>
          <w:sz w:val="24"/>
        </w:rPr>
        <w:t>198.07</w:t>
      </w:r>
    </w:p>
    <w:p w:rsidR="00855B6E" w:rsidRPr="007B0AC9" w:rsidRDefault="00855B6E" w:rsidP="00855B6E">
      <w:pPr>
        <w:autoSpaceDE w:val="0"/>
        <w:autoSpaceDN w:val="0"/>
        <w:adjustRightInd w:val="0"/>
        <w:rPr>
          <w:rFonts w:ascii="Arial" w:hAnsi="Arial" w:cs="Arial"/>
          <w:sz w:val="24"/>
        </w:rPr>
      </w:pPr>
      <w:r w:rsidRPr="007B0AC9">
        <w:rPr>
          <w:rFonts w:ascii="Arial" w:hAnsi="Arial" w:cs="Arial"/>
          <w:sz w:val="24"/>
        </w:rPr>
        <w:t xml:space="preserve">72715 - Hospitality Catering </w:t>
      </w:r>
      <w:r w:rsidRPr="007B0AC9">
        <w:rPr>
          <w:rFonts w:ascii="Arial" w:hAnsi="Arial" w:cs="Arial"/>
          <w:sz w:val="24"/>
        </w:rPr>
        <w:tab/>
      </w:r>
      <w:r w:rsidRPr="007B0AC9">
        <w:rPr>
          <w:rFonts w:ascii="Arial" w:hAnsi="Arial" w:cs="Arial"/>
          <w:sz w:val="24"/>
        </w:rPr>
        <w:tab/>
      </w:r>
      <w:r w:rsidRPr="007B0AC9">
        <w:rPr>
          <w:rFonts w:ascii="Arial" w:hAnsi="Arial" w:cs="Arial"/>
          <w:sz w:val="24"/>
        </w:rPr>
        <w:tab/>
      </w:r>
      <w:r w:rsidRPr="007B0AC9">
        <w:rPr>
          <w:rFonts w:ascii="Arial" w:hAnsi="Arial" w:cs="Arial"/>
          <w:sz w:val="24"/>
        </w:rPr>
        <w:tab/>
        <w:t>793.65</w:t>
      </w:r>
    </w:p>
    <w:p w:rsidR="00855B6E" w:rsidRDefault="00855B6E" w:rsidP="00855B6E">
      <w:pPr>
        <w:autoSpaceDE w:val="0"/>
        <w:autoSpaceDN w:val="0"/>
        <w:adjustRightInd w:val="0"/>
        <w:rPr>
          <w:rFonts w:ascii="Arial" w:hAnsi="Arial" w:cs="Arial"/>
          <w:sz w:val="24"/>
        </w:rPr>
      </w:pPr>
      <w:r w:rsidRPr="007B0AC9">
        <w:rPr>
          <w:rFonts w:ascii="Arial" w:hAnsi="Arial" w:cs="Arial"/>
          <w:sz w:val="24"/>
        </w:rPr>
        <w:t xml:space="preserve">73105 </w:t>
      </w:r>
      <w:r>
        <w:rPr>
          <w:rFonts w:ascii="Arial" w:hAnsi="Arial" w:cs="Arial"/>
          <w:sz w:val="24"/>
        </w:rPr>
        <w:t>–</w:t>
      </w:r>
      <w:r w:rsidRPr="007B0AC9">
        <w:rPr>
          <w:rFonts w:ascii="Arial" w:hAnsi="Arial" w:cs="Arial"/>
          <w:sz w:val="24"/>
        </w:rPr>
        <w:t xml:space="preserve"> Rent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1,560.00</w:t>
      </w:r>
    </w:p>
    <w:p w:rsidR="00855B6E" w:rsidRPr="007B0AC9" w:rsidRDefault="00855B6E" w:rsidP="00855B6E">
      <w:pPr>
        <w:autoSpaceDE w:val="0"/>
        <w:autoSpaceDN w:val="0"/>
        <w:adjustRightInd w:val="0"/>
        <w:rPr>
          <w:rFonts w:ascii="Arial" w:hAnsi="Arial" w:cs="Arial"/>
          <w:sz w:val="24"/>
        </w:rPr>
      </w:pPr>
      <w:r w:rsidRPr="007B0AC9">
        <w:rPr>
          <w:rFonts w:ascii="Arial" w:hAnsi="Arial" w:cs="Arial"/>
          <w:sz w:val="24"/>
        </w:rPr>
        <w:t xml:space="preserve">74220 - Translation Costs </w:t>
      </w:r>
      <w:r w:rsidRPr="007B0AC9">
        <w:rPr>
          <w:rFonts w:ascii="Arial" w:hAnsi="Arial" w:cs="Arial"/>
          <w:sz w:val="24"/>
        </w:rPr>
        <w:tab/>
      </w:r>
      <w:r w:rsidRPr="007B0AC9">
        <w:rPr>
          <w:rFonts w:ascii="Arial" w:hAnsi="Arial" w:cs="Arial"/>
          <w:sz w:val="24"/>
        </w:rPr>
        <w:tab/>
      </w:r>
      <w:r w:rsidRPr="007B0AC9">
        <w:rPr>
          <w:rFonts w:ascii="Arial" w:hAnsi="Arial" w:cs="Arial"/>
          <w:sz w:val="24"/>
        </w:rPr>
        <w:tab/>
      </w:r>
      <w:r w:rsidRPr="007B0AC9">
        <w:rPr>
          <w:rFonts w:ascii="Arial" w:hAnsi="Arial" w:cs="Arial"/>
          <w:sz w:val="24"/>
        </w:rPr>
        <w:tab/>
      </w:r>
      <w:r>
        <w:rPr>
          <w:rFonts w:ascii="Arial" w:hAnsi="Arial" w:cs="Arial"/>
          <w:sz w:val="24"/>
        </w:rPr>
        <w:tab/>
        <w:t>5,225.20</w:t>
      </w:r>
    </w:p>
    <w:p w:rsidR="00855B6E" w:rsidRDefault="00855B6E" w:rsidP="00855B6E">
      <w:pPr>
        <w:pBdr>
          <w:bottom w:val="double" w:sz="6" w:space="1" w:color="auto"/>
        </w:pBdr>
        <w:rPr>
          <w:rFonts w:ascii="Arial" w:hAnsi="Arial" w:cs="Arial"/>
          <w:sz w:val="24"/>
        </w:rPr>
      </w:pPr>
      <w:r w:rsidRPr="007B0AC9">
        <w:rPr>
          <w:rFonts w:ascii="Arial" w:hAnsi="Arial" w:cs="Arial"/>
          <w:sz w:val="24"/>
        </w:rPr>
        <w:t xml:space="preserve">74525 - Sundry </w:t>
      </w:r>
      <w:r w:rsidRPr="007B0AC9">
        <w:rPr>
          <w:rFonts w:ascii="Arial" w:hAnsi="Arial" w:cs="Arial"/>
          <w:sz w:val="24"/>
        </w:rPr>
        <w:tab/>
      </w:r>
      <w:r w:rsidRPr="007B0AC9">
        <w:rPr>
          <w:rFonts w:ascii="Arial" w:hAnsi="Arial" w:cs="Arial"/>
          <w:sz w:val="24"/>
        </w:rPr>
        <w:tab/>
      </w:r>
      <w:r w:rsidRPr="007B0AC9">
        <w:rPr>
          <w:rFonts w:ascii="Arial" w:hAnsi="Arial" w:cs="Arial"/>
          <w:sz w:val="24"/>
        </w:rPr>
        <w:tab/>
      </w:r>
      <w:r w:rsidRPr="007B0AC9">
        <w:rPr>
          <w:rFonts w:ascii="Arial" w:hAnsi="Arial" w:cs="Arial"/>
          <w:sz w:val="24"/>
        </w:rPr>
        <w:tab/>
      </w:r>
      <w:r w:rsidRPr="007B0AC9">
        <w:rPr>
          <w:rFonts w:ascii="Arial" w:hAnsi="Arial" w:cs="Arial"/>
          <w:sz w:val="24"/>
        </w:rPr>
        <w:tab/>
      </w:r>
      <w:r>
        <w:rPr>
          <w:rFonts w:ascii="Arial" w:hAnsi="Arial" w:cs="Arial"/>
          <w:sz w:val="24"/>
        </w:rPr>
        <w:tab/>
      </w:r>
      <w:r w:rsidRPr="007B0AC9">
        <w:rPr>
          <w:rFonts w:ascii="Arial" w:hAnsi="Arial" w:cs="Arial"/>
          <w:sz w:val="24"/>
        </w:rPr>
        <w:t>1,549.40</w:t>
      </w:r>
    </w:p>
    <w:p w:rsidR="00855B6E" w:rsidRPr="007B0AC9" w:rsidRDefault="00855B6E" w:rsidP="00855B6E">
      <w:pPr>
        <w:rPr>
          <w:sz w:val="36"/>
          <w:szCs w:val="36"/>
        </w:rPr>
      </w:pPr>
      <w:r>
        <w:rPr>
          <w:rFonts w:ascii="Arial" w:hAnsi="Arial" w:cs="Arial"/>
          <w:sz w:val="24"/>
        </w:rPr>
        <w:t>Total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55B6E">
        <w:rPr>
          <w:rFonts w:ascii="Arial" w:hAnsi="Arial" w:cs="Arial"/>
          <w:sz w:val="24"/>
        </w:rPr>
        <w:t>123,873.64</w:t>
      </w:r>
    </w:p>
    <w:p w:rsidR="0095609D" w:rsidRDefault="0095609D" w:rsidP="00946DC3">
      <w:pPr>
        <w:pStyle w:val="BodyCopy"/>
        <w:rPr>
          <w:rFonts w:ascii="Times New Roman" w:hAnsi="Times New Roman"/>
          <w:sz w:val="22"/>
          <w:szCs w:val="22"/>
        </w:rPr>
      </w:pPr>
    </w:p>
    <w:p w:rsidR="00D17324" w:rsidRDefault="00855B6E" w:rsidP="00855B6E">
      <w:pPr>
        <w:pStyle w:val="BodyCopy"/>
        <w:rPr>
          <w:rFonts w:ascii="Times New Roman" w:hAnsi="Times New Roman"/>
          <w:sz w:val="22"/>
          <w:szCs w:val="22"/>
        </w:rPr>
      </w:pPr>
      <w:r>
        <w:rPr>
          <w:rFonts w:ascii="Times New Roman" w:hAnsi="Times New Roman"/>
          <w:sz w:val="22"/>
          <w:szCs w:val="22"/>
        </w:rPr>
        <w:t xml:space="preserve">N.B: due to incorrect vCOA given for classification of the post, part of the P5 post cost was charged to the old NIM justice project (55447), this needs to be corrected at HQ level by transferring USD </w:t>
      </w:r>
      <w:r w:rsidRPr="00855B6E">
        <w:rPr>
          <w:rFonts w:ascii="Times New Roman" w:hAnsi="Times New Roman"/>
          <w:sz w:val="22"/>
          <w:szCs w:val="22"/>
        </w:rPr>
        <w:t>71</w:t>
      </w:r>
      <w:r>
        <w:rPr>
          <w:rFonts w:ascii="Times New Roman" w:hAnsi="Times New Roman"/>
          <w:sz w:val="22"/>
          <w:szCs w:val="22"/>
        </w:rPr>
        <w:t>,</w:t>
      </w:r>
      <w:r w:rsidRPr="00855B6E">
        <w:rPr>
          <w:rFonts w:ascii="Times New Roman" w:hAnsi="Times New Roman"/>
          <w:sz w:val="22"/>
          <w:szCs w:val="22"/>
        </w:rPr>
        <w:t>734.23</w:t>
      </w:r>
      <w:r>
        <w:rPr>
          <w:rFonts w:ascii="Times New Roman" w:hAnsi="Times New Roman"/>
          <w:sz w:val="22"/>
          <w:szCs w:val="22"/>
        </w:rPr>
        <w:t xml:space="preserve"> back to above project.</w:t>
      </w:r>
    </w:p>
    <w:p w:rsidR="0095609D" w:rsidRPr="00DC56C1" w:rsidRDefault="0095609D" w:rsidP="00946DC3">
      <w:pPr>
        <w:pStyle w:val="BodyCopy"/>
        <w:rPr>
          <w:rFonts w:ascii="Times New Roman" w:hAnsi="Times New Roman"/>
          <w:sz w:val="22"/>
          <w:szCs w:val="22"/>
        </w:rPr>
      </w:pPr>
    </w:p>
    <w:p w:rsidR="0095609D" w:rsidRPr="00DC56C1" w:rsidRDefault="0095609D" w:rsidP="0095609D">
      <w:pPr>
        <w:pStyle w:val="BodyCopy"/>
        <w:jc w:val="center"/>
        <w:rPr>
          <w:rFonts w:ascii="Times New Roman" w:hAnsi="Times New Roman"/>
          <w:sz w:val="22"/>
          <w:szCs w:val="22"/>
        </w:rPr>
      </w:pPr>
      <w:r w:rsidRPr="00DC56C1">
        <w:rPr>
          <w:rFonts w:ascii="Times New Roman" w:hAnsi="Times New Roman"/>
          <w:sz w:val="22"/>
          <w:szCs w:val="22"/>
        </w:rPr>
        <w:t>***</w:t>
      </w:r>
    </w:p>
    <w:p w:rsidR="00F6605B" w:rsidRPr="00DC56C1" w:rsidRDefault="00F6605B" w:rsidP="00571990">
      <w:pPr>
        <w:pStyle w:val="BodyCopy"/>
        <w:jc w:val="left"/>
        <w:rPr>
          <w:rFonts w:ascii="Times New Roman" w:hAnsi="Times New Roman"/>
          <w:sz w:val="22"/>
          <w:szCs w:val="22"/>
        </w:rPr>
      </w:pPr>
    </w:p>
    <w:sectPr w:rsidR="00F6605B" w:rsidRPr="00DC56C1" w:rsidSect="004E5E25">
      <w:headerReference w:type="default" r:id="rId13"/>
      <w:footerReference w:type="even" r:id="rId14"/>
      <w:footerReference w:type="default" r:id="rId15"/>
      <w:headerReference w:type="first" r:id="rId16"/>
      <w:footerReference w:type="first" r:id="rId17"/>
      <w:pgSz w:w="12240" w:h="15840" w:code="1"/>
      <w:pgMar w:top="448" w:right="505" w:bottom="720" w:left="505" w:header="270" w:footer="3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195" w:rsidRDefault="00404195">
      <w:r>
        <w:separator/>
      </w:r>
    </w:p>
    <w:p w:rsidR="00404195" w:rsidRDefault="00404195"/>
  </w:endnote>
  <w:endnote w:type="continuationSeparator" w:id="0">
    <w:p w:rsidR="00404195" w:rsidRDefault="00404195">
      <w:r>
        <w:continuationSeparator/>
      </w:r>
    </w:p>
    <w:p w:rsidR="00404195" w:rsidRDefault="00404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09F" w:csb1="00000000"/>
  </w:font>
  <w:font w:name="Lucida Grande">
    <w:altName w:val="Arial"/>
    <w:charset w:val="00"/>
    <w:family w:val="auto"/>
    <w:pitch w:val="variable"/>
    <w:sig w:usb0="00000000" w:usb1="5000A1FF" w:usb2="00000000" w:usb3="00000000" w:csb0="000001BF" w:csb1="00000000"/>
  </w:font>
  <w:font w:name="MyriadPro-Regular">
    <w:altName w:val="Times New Roman"/>
    <w:panose1 w:val="00000000000000000000"/>
    <w:charset w:val="4D"/>
    <w:family w:val="auto"/>
    <w:notTrueType/>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7C" w:rsidRDefault="00C61DB5" w:rsidP="00AC518C">
    <w:pPr>
      <w:pStyle w:val="Footer"/>
      <w:framePr w:wrap="around" w:vAnchor="text" w:hAnchor="margin" w:xAlign="center" w:y="1"/>
      <w:rPr>
        <w:rStyle w:val="PageNumber"/>
      </w:rPr>
    </w:pPr>
    <w:r>
      <w:rPr>
        <w:rStyle w:val="PageNumber"/>
      </w:rPr>
      <w:fldChar w:fldCharType="begin"/>
    </w:r>
    <w:r w:rsidR="009C287C">
      <w:rPr>
        <w:rStyle w:val="PageNumber"/>
      </w:rPr>
      <w:instrText xml:space="preserve">PAGE  </w:instrText>
    </w:r>
    <w:r>
      <w:rPr>
        <w:rStyle w:val="PageNumber"/>
      </w:rPr>
      <w:fldChar w:fldCharType="end"/>
    </w:r>
  </w:p>
  <w:p w:rsidR="009C287C" w:rsidRDefault="009C287C">
    <w:pPr>
      <w:pStyle w:val="Footer"/>
    </w:pPr>
  </w:p>
  <w:p w:rsidR="009C287C" w:rsidRDefault="009C28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A8B" w:rsidRDefault="00C61DB5">
    <w:pPr>
      <w:pStyle w:val="Footer"/>
      <w:jc w:val="right"/>
    </w:pPr>
    <w:r>
      <w:fldChar w:fldCharType="begin"/>
    </w:r>
    <w:r w:rsidR="00416A8B">
      <w:instrText xml:space="preserve"> PAGE   \* MERGEFORMAT </w:instrText>
    </w:r>
    <w:r>
      <w:fldChar w:fldCharType="separate"/>
    </w:r>
    <w:r w:rsidR="00855B6E">
      <w:rPr>
        <w:noProof/>
      </w:rPr>
      <w:t>2</w:t>
    </w:r>
    <w:r>
      <w:rPr>
        <w:noProof/>
      </w:rPr>
      <w:fldChar w:fldCharType="end"/>
    </w:r>
  </w:p>
  <w:p w:rsidR="009C287C" w:rsidRDefault="009C287C" w:rsidP="004E5E25">
    <w:pPr>
      <w:pStyle w:val="Footer"/>
      <w:tabs>
        <w:tab w:val="clear" w:pos="4320"/>
        <w:tab w:val="clear" w:pos="8640"/>
        <w:tab w:val="left" w:pos="623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7C" w:rsidRDefault="00A8006E" w:rsidP="00AD1B77">
    <w:pPr>
      <w:pStyle w:val="Footer"/>
      <w:jc w:val="center"/>
    </w:pPr>
    <w:r>
      <w:rPr>
        <w:noProof/>
        <w:lang w:eastAsia="ja-JP"/>
      </w:rPr>
      <w:drawing>
        <wp:anchor distT="0" distB="0" distL="114300" distR="114300" simplePos="0" relativeHeight="251657216" behindDoc="1" locked="0" layoutInCell="1" allowOverlap="1">
          <wp:simplePos x="0" y="0"/>
          <wp:positionH relativeFrom="column">
            <wp:posOffset>15240</wp:posOffset>
          </wp:positionH>
          <wp:positionV relativeFrom="paragraph">
            <wp:posOffset>-4508500</wp:posOffset>
          </wp:positionV>
          <wp:extent cx="7109460" cy="4655185"/>
          <wp:effectExtent l="0" t="0" r="0" b="0"/>
          <wp:wrapNone/>
          <wp:docPr id="1" name="Picture 3" descr="Comparative_temp_CDG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rative_temp_CDG_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9460" cy="46551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195" w:rsidRDefault="00404195">
      <w:r>
        <w:separator/>
      </w:r>
    </w:p>
    <w:p w:rsidR="00404195" w:rsidRDefault="00404195"/>
  </w:footnote>
  <w:footnote w:type="continuationSeparator" w:id="0">
    <w:p w:rsidR="00404195" w:rsidRDefault="00404195">
      <w:r>
        <w:continuationSeparator/>
      </w:r>
    </w:p>
    <w:p w:rsidR="00404195" w:rsidRDefault="004041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7C" w:rsidRDefault="009C287C" w:rsidP="00110123">
    <w:pPr>
      <w:tabs>
        <w:tab w:val="center" w:pos="5615"/>
      </w:tabs>
    </w:pPr>
    <w:r>
      <w:tab/>
    </w:r>
  </w:p>
  <w:p w:rsidR="009C287C" w:rsidRDefault="009C28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7C" w:rsidRDefault="00A8006E">
    <w:pPr>
      <w:pStyle w:val="Header"/>
    </w:pPr>
    <w:r>
      <w:rPr>
        <w:noProof/>
        <w:lang w:eastAsia="ja-JP"/>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891540" cy="1828800"/>
          <wp:effectExtent l="0" t="0" r="381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183A"/>
    <w:multiLevelType w:val="hybridMultilevel"/>
    <w:tmpl w:val="6AC8DF6E"/>
    <w:lvl w:ilvl="0" w:tplc="1312DB4C">
      <w:start w:val="1"/>
      <w:numFmt w:val="bullet"/>
      <w:pStyle w:val="BodyCopyBulletLis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2CA0991"/>
    <w:multiLevelType w:val="hybridMultilevel"/>
    <w:tmpl w:val="9F585AAE"/>
    <w:lvl w:ilvl="0" w:tplc="44D88764">
      <w:start w:val="2"/>
      <w:numFmt w:val="bullet"/>
      <w:lvlText w:val=""/>
      <w:lvlJc w:val="left"/>
      <w:pPr>
        <w:ind w:left="360" w:hanging="360"/>
      </w:pPr>
      <w:rPr>
        <w:rFonts w:ascii="Symbol" w:eastAsia="Times New Roman" w:hAnsi="Symbol"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ED3234"/>
    <w:multiLevelType w:val="hybridMultilevel"/>
    <w:tmpl w:val="877CFF2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BCB3812"/>
    <w:multiLevelType w:val="hybridMultilevel"/>
    <w:tmpl w:val="E426425E"/>
    <w:lvl w:ilvl="0" w:tplc="9F6A23D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6AD237EC"/>
    <w:multiLevelType w:val="hybridMultilevel"/>
    <w:tmpl w:val="E426425E"/>
    <w:lvl w:ilvl="0" w:tplc="9F6A23D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71D131F1"/>
    <w:multiLevelType w:val="hybridMultilevel"/>
    <w:tmpl w:val="32F074C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3d1c6c,#e2dee9,#d9e5f1,#fde6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8D"/>
    <w:rsid w:val="00000353"/>
    <w:rsid w:val="00005423"/>
    <w:rsid w:val="00011CC3"/>
    <w:rsid w:val="00066C94"/>
    <w:rsid w:val="000967C2"/>
    <w:rsid w:val="001003DD"/>
    <w:rsid w:val="0010203E"/>
    <w:rsid w:val="00110123"/>
    <w:rsid w:val="00113FA7"/>
    <w:rsid w:val="00121801"/>
    <w:rsid w:val="00127E08"/>
    <w:rsid w:val="001301AC"/>
    <w:rsid w:val="00155FCF"/>
    <w:rsid w:val="00156737"/>
    <w:rsid w:val="001621BC"/>
    <w:rsid w:val="00164AA4"/>
    <w:rsid w:val="001A7C41"/>
    <w:rsid w:val="001C6368"/>
    <w:rsid w:val="001C7B28"/>
    <w:rsid w:val="001F60A6"/>
    <w:rsid w:val="00200FA1"/>
    <w:rsid w:val="00201E95"/>
    <w:rsid w:val="0021042A"/>
    <w:rsid w:val="0021210A"/>
    <w:rsid w:val="00214347"/>
    <w:rsid w:val="00217264"/>
    <w:rsid w:val="002469B7"/>
    <w:rsid w:val="00260DA2"/>
    <w:rsid w:val="0026615B"/>
    <w:rsid w:val="0027501D"/>
    <w:rsid w:val="00276FF4"/>
    <w:rsid w:val="00284D20"/>
    <w:rsid w:val="002D221D"/>
    <w:rsid w:val="002D6CB7"/>
    <w:rsid w:val="002F3679"/>
    <w:rsid w:val="002F67F0"/>
    <w:rsid w:val="00302E06"/>
    <w:rsid w:val="00367B81"/>
    <w:rsid w:val="00382564"/>
    <w:rsid w:val="00396F24"/>
    <w:rsid w:val="003A501F"/>
    <w:rsid w:val="003B02FA"/>
    <w:rsid w:val="003C175D"/>
    <w:rsid w:val="003F67C3"/>
    <w:rsid w:val="00404195"/>
    <w:rsid w:val="004101AF"/>
    <w:rsid w:val="00416776"/>
    <w:rsid w:val="00416A8B"/>
    <w:rsid w:val="004321CD"/>
    <w:rsid w:val="004529C6"/>
    <w:rsid w:val="004551E3"/>
    <w:rsid w:val="00466B88"/>
    <w:rsid w:val="00487988"/>
    <w:rsid w:val="004C4DED"/>
    <w:rsid w:val="004C7ED2"/>
    <w:rsid w:val="004D1F58"/>
    <w:rsid w:val="004D6CB5"/>
    <w:rsid w:val="004E5E25"/>
    <w:rsid w:val="00504349"/>
    <w:rsid w:val="0051006F"/>
    <w:rsid w:val="0054519A"/>
    <w:rsid w:val="00567AD1"/>
    <w:rsid w:val="00571990"/>
    <w:rsid w:val="0057315B"/>
    <w:rsid w:val="00584639"/>
    <w:rsid w:val="0059236E"/>
    <w:rsid w:val="005963D2"/>
    <w:rsid w:val="005B19FE"/>
    <w:rsid w:val="00613229"/>
    <w:rsid w:val="0062766B"/>
    <w:rsid w:val="006874D3"/>
    <w:rsid w:val="006A0212"/>
    <w:rsid w:val="006C0C01"/>
    <w:rsid w:val="006C28FE"/>
    <w:rsid w:val="006C6EFA"/>
    <w:rsid w:val="006D03AC"/>
    <w:rsid w:val="006E58D1"/>
    <w:rsid w:val="007201B2"/>
    <w:rsid w:val="0072745C"/>
    <w:rsid w:val="007327E3"/>
    <w:rsid w:val="007575F5"/>
    <w:rsid w:val="00763777"/>
    <w:rsid w:val="00767748"/>
    <w:rsid w:val="0078306B"/>
    <w:rsid w:val="007B4B91"/>
    <w:rsid w:val="007B689D"/>
    <w:rsid w:val="007C6E01"/>
    <w:rsid w:val="007D1471"/>
    <w:rsid w:val="007E2F90"/>
    <w:rsid w:val="007E702D"/>
    <w:rsid w:val="007F07C5"/>
    <w:rsid w:val="0081481C"/>
    <w:rsid w:val="008278D3"/>
    <w:rsid w:val="0083228E"/>
    <w:rsid w:val="00841D1A"/>
    <w:rsid w:val="00842E8B"/>
    <w:rsid w:val="008431FE"/>
    <w:rsid w:val="00855B6E"/>
    <w:rsid w:val="00860E69"/>
    <w:rsid w:val="00872C7B"/>
    <w:rsid w:val="00881548"/>
    <w:rsid w:val="008C039B"/>
    <w:rsid w:val="008D3089"/>
    <w:rsid w:val="008D774F"/>
    <w:rsid w:val="00940160"/>
    <w:rsid w:val="00946DC3"/>
    <w:rsid w:val="0095609D"/>
    <w:rsid w:val="009565BC"/>
    <w:rsid w:val="009859C3"/>
    <w:rsid w:val="00995725"/>
    <w:rsid w:val="009C287C"/>
    <w:rsid w:val="009C4014"/>
    <w:rsid w:val="009D4FAC"/>
    <w:rsid w:val="009D64A2"/>
    <w:rsid w:val="009F5E92"/>
    <w:rsid w:val="00A2168F"/>
    <w:rsid w:val="00A31C3A"/>
    <w:rsid w:val="00A347F9"/>
    <w:rsid w:val="00A64735"/>
    <w:rsid w:val="00A653ED"/>
    <w:rsid w:val="00A8006E"/>
    <w:rsid w:val="00A8083D"/>
    <w:rsid w:val="00A80F39"/>
    <w:rsid w:val="00AA34D7"/>
    <w:rsid w:val="00AA523A"/>
    <w:rsid w:val="00AC518C"/>
    <w:rsid w:val="00AD1B77"/>
    <w:rsid w:val="00AD4AAD"/>
    <w:rsid w:val="00AD570A"/>
    <w:rsid w:val="00AE5618"/>
    <w:rsid w:val="00AF4439"/>
    <w:rsid w:val="00B2145C"/>
    <w:rsid w:val="00B36891"/>
    <w:rsid w:val="00B36DEE"/>
    <w:rsid w:val="00B5609E"/>
    <w:rsid w:val="00B854F4"/>
    <w:rsid w:val="00C0097A"/>
    <w:rsid w:val="00C03921"/>
    <w:rsid w:val="00C428D2"/>
    <w:rsid w:val="00C51355"/>
    <w:rsid w:val="00C61DB5"/>
    <w:rsid w:val="00C74106"/>
    <w:rsid w:val="00C7586F"/>
    <w:rsid w:val="00C9654D"/>
    <w:rsid w:val="00CA0078"/>
    <w:rsid w:val="00CB007E"/>
    <w:rsid w:val="00CD6E95"/>
    <w:rsid w:val="00CF4DCB"/>
    <w:rsid w:val="00CF507F"/>
    <w:rsid w:val="00D10A8D"/>
    <w:rsid w:val="00D17324"/>
    <w:rsid w:val="00D54EB3"/>
    <w:rsid w:val="00D80D2E"/>
    <w:rsid w:val="00D81559"/>
    <w:rsid w:val="00D93AB4"/>
    <w:rsid w:val="00DB0C85"/>
    <w:rsid w:val="00DB1814"/>
    <w:rsid w:val="00DC56C1"/>
    <w:rsid w:val="00DE0614"/>
    <w:rsid w:val="00DF6F60"/>
    <w:rsid w:val="00E13EB0"/>
    <w:rsid w:val="00E363A9"/>
    <w:rsid w:val="00E45DBD"/>
    <w:rsid w:val="00E5005F"/>
    <w:rsid w:val="00E86AAA"/>
    <w:rsid w:val="00E92CE7"/>
    <w:rsid w:val="00EA533E"/>
    <w:rsid w:val="00EA6225"/>
    <w:rsid w:val="00EC01BE"/>
    <w:rsid w:val="00EC4E8E"/>
    <w:rsid w:val="00ED27B8"/>
    <w:rsid w:val="00EF10A5"/>
    <w:rsid w:val="00EF1DD9"/>
    <w:rsid w:val="00EF4899"/>
    <w:rsid w:val="00F15C8A"/>
    <w:rsid w:val="00F1655C"/>
    <w:rsid w:val="00F215F9"/>
    <w:rsid w:val="00F6605B"/>
    <w:rsid w:val="00FE2E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3d1c6c,#e2dee9,#d9e5f1,#fde6cb"/>
    </o:shapedefaults>
    <o:shapelayout v:ext="edit">
      <o:idmap v:ext="edit" data="1"/>
    </o:shapelayout>
  </w:shapeDefaults>
  <w:doNotEmbedSmartTags/>
  <w:decimalSymbol w:val="."/>
  <w:listSeparator w:val=","/>
  <w15:chartTrackingRefBased/>
  <w15:docId w15:val="{566A3390-4CF6-48C0-915D-00589856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15B"/>
    <w:rPr>
      <w:rFonts w:ascii="Myriad Pro" w:hAnsi="Myriad Pro"/>
      <w:szCs w:val="24"/>
      <w:lang w:eastAsia="en-US"/>
    </w:rPr>
  </w:style>
  <w:style w:type="paragraph" w:styleId="Heading1">
    <w:name w:val="heading 1"/>
    <w:basedOn w:val="Normal"/>
    <w:next w:val="Normal"/>
    <w:link w:val="Heading1Char"/>
    <w:qFormat/>
    <w:rsid w:val="00C9654D"/>
    <w:pPr>
      <w:keepNext/>
      <w:spacing w:after="60"/>
      <w:jc w:val="right"/>
      <w:outlineLvl w:val="0"/>
    </w:pPr>
    <w:rPr>
      <w:b/>
      <w:caps/>
      <w:color w:val="F99D30"/>
      <w:kern w:val="32"/>
      <w:sz w:val="32"/>
      <w:szCs w:val="32"/>
    </w:rPr>
  </w:style>
  <w:style w:type="paragraph" w:styleId="Heading2">
    <w:name w:val="heading 2"/>
    <w:basedOn w:val="Normal"/>
    <w:next w:val="Normal"/>
    <w:qFormat/>
    <w:rsid w:val="00C9654D"/>
    <w:pPr>
      <w:keepNext/>
      <w:spacing w:before="240" w:after="120"/>
      <w:outlineLvl w:val="1"/>
    </w:pPr>
    <w:rPr>
      <w:b/>
      <w:color w:val="F99D30"/>
      <w:sz w:val="28"/>
      <w:szCs w:val="28"/>
    </w:rPr>
  </w:style>
  <w:style w:type="paragraph" w:styleId="Heading3">
    <w:name w:val="heading 3"/>
    <w:basedOn w:val="Normal"/>
    <w:next w:val="Normal"/>
    <w:qFormat/>
    <w:rsid w:val="00C9654D"/>
    <w:pPr>
      <w:keepNext/>
      <w:spacing w:before="120" w:after="200"/>
      <w:jc w:val="both"/>
      <w:outlineLvl w:val="2"/>
    </w:pPr>
    <w:rPr>
      <w:b/>
      <w:color w:val="F99D3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2652"/>
    <w:rPr>
      <w:rFonts w:ascii="Lucida Grande" w:hAnsi="Lucida Grande"/>
      <w:sz w:val="18"/>
      <w:szCs w:val="18"/>
    </w:rPr>
  </w:style>
  <w:style w:type="paragraph" w:styleId="Header">
    <w:name w:val="header"/>
    <w:basedOn w:val="Normal"/>
    <w:link w:val="HeaderChar"/>
    <w:uiPriority w:val="99"/>
    <w:unhideWhenUsed/>
    <w:rsid w:val="00AC518C"/>
    <w:pPr>
      <w:tabs>
        <w:tab w:val="center" w:pos="4680"/>
        <w:tab w:val="right" w:pos="9360"/>
      </w:tabs>
    </w:pPr>
  </w:style>
  <w:style w:type="paragraph" w:styleId="Footer">
    <w:name w:val="footer"/>
    <w:basedOn w:val="Normal"/>
    <w:link w:val="FooterChar"/>
    <w:uiPriority w:val="99"/>
    <w:rsid w:val="00A22816"/>
    <w:pPr>
      <w:tabs>
        <w:tab w:val="center" w:pos="4320"/>
        <w:tab w:val="right" w:pos="8640"/>
      </w:tabs>
    </w:pPr>
  </w:style>
  <w:style w:type="character" w:styleId="PageNumber">
    <w:name w:val="page number"/>
    <w:basedOn w:val="DefaultParagraphFont"/>
    <w:rsid w:val="00396F24"/>
    <w:rPr>
      <w:rFonts w:ascii="Myriad Pro" w:hAnsi="Myriad Pro"/>
      <w:b/>
      <w:color w:val="FFFFFF"/>
      <w:sz w:val="20"/>
    </w:rPr>
  </w:style>
  <w:style w:type="paragraph" w:customStyle="1" w:styleId="Caption1">
    <w:name w:val="Caption1"/>
    <w:basedOn w:val="Normal"/>
    <w:rsid w:val="00C9654D"/>
    <w:pPr>
      <w:spacing w:after="360"/>
    </w:pPr>
    <w:rPr>
      <w:i/>
      <w:color w:val="F99D30"/>
    </w:rPr>
  </w:style>
  <w:style w:type="paragraph" w:customStyle="1" w:styleId="BodyCopy">
    <w:name w:val="Body Copy"/>
    <w:basedOn w:val="Normal"/>
    <w:link w:val="BodyCopyChar"/>
    <w:rsid w:val="00A22816"/>
    <w:pPr>
      <w:widowControl w:val="0"/>
      <w:autoSpaceDE w:val="0"/>
      <w:autoSpaceDN w:val="0"/>
      <w:adjustRightInd w:val="0"/>
      <w:spacing w:after="180" w:line="288" w:lineRule="auto"/>
      <w:jc w:val="both"/>
      <w:textAlignment w:val="center"/>
    </w:pPr>
    <w:rPr>
      <w:rFonts w:ascii="MyriadPro-Regular" w:hAnsi="MyriadPro-Regular"/>
      <w:color w:val="000000"/>
      <w:szCs w:val="20"/>
    </w:rPr>
  </w:style>
  <w:style w:type="character" w:customStyle="1" w:styleId="HeaderChar">
    <w:name w:val="Header Char"/>
    <w:basedOn w:val="DefaultParagraphFont"/>
    <w:link w:val="Header"/>
    <w:uiPriority w:val="99"/>
    <w:rsid w:val="00AC518C"/>
    <w:rPr>
      <w:rFonts w:ascii="Myriad Pro" w:hAnsi="Myriad Pro"/>
      <w:szCs w:val="24"/>
      <w:lang w:val="en-US" w:eastAsia="en-US"/>
    </w:rPr>
  </w:style>
  <w:style w:type="paragraph" w:customStyle="1" w:styleId="Heading4">
    <w:name w:val="Heading4"/>
    <w:basedOn w:val="BodyCopy"/>
    <w:rsid w:val="00A22816"/>
    <w:rPr>
      <w:b/>
    </w:rPr>
  </w:style>
  <w:style w:type="table" w:styleId="TableGrid">
    <w:name w:val="Table Grid"/>
    <w:basedOn w:val="TableNormal"/>
    <w:rsid w:val="00A22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D1B77"/>
    <w:rPr>
      <w:rFonts w:ascii="Myriad Pro" w:hAnsi="Myriad Pro"/>
      <w:szCs w:val="24"/>
      <w:lang w:val="en-US" w:eastAsia="en-US"/>
    </w:rPr>
  </w:style>
  <w:style w:type="character" w:customStyle="1" w:styleId="Heading1Char">
    <w:name w:val="Heading 1 Char"/>
    <w:basedOn w:val="DefaultParagraphFont"/>
    <w:link w:val="Heading1"/>
    <w:rsid w:val="00C9654D"/>
    <w:rPr>
      <w:rFonts w:ascii="Myriad Pro" w:hAnsi="Myriad Pro"/>
      <w:b/>
      <w:caps/>
      <w:color w:val="F99D30"/>
      <w:kern w:val="32"/>
      <w:sz w:val="32"/>
      <w:szCs w:val="32"/>
    </w:rPr>
  </w:style>
  <w:style w:type="paragraph" w:customStyle="1" w:styleId="ListofContents">
    <w:name w:val="List of Contents"/>
    <w:basedOn w:val="Normal"/>
    <w:link w:val="ListofContentsChar"/>
    <w:qFormat/>
    <w:rsid w:val="00C9654D"/>
    <w:pPr>
      <w:tabs>
        <w:tab w:val="right" w:leader="dot" w:pos="11199"/>
      </w:tabs>
    </w:pPr>
    <w:rPr>
      <w:b/>
      <w:color w:val="F99D30"/>
      <w:szCs w:val="20"/>
    </w:rPr>
  </w:style>
  <w:style w:type="paragraph" w:customStyle="1" w:styleId="BodyCopyBulletList">
    <w:name w:val="Body Copy + Bullet List"/>
    <w:basedOn w:val="BodyCopy"/>
    <w:link w:val="BodyCopyBulletListChar"/>
    <w:qFormat/>
    <w:rsid w:val="00881548"/>
    <w:pPr>
      <w:numPr>
        <w:numId w:val="1"/>
      </w:numPr>
    </w:pPr>
  </w:style>
  <w:style w:type="character" w:customStyle="1" w:styleId="ListofContentsChar">
    <w:name w:val="List of Contents Char"/>
    <w:basedOn w:val="DefaultParagraphFont"/>
    <w:link w:val="ListofContents"/>
    <w:rsid w:val="00C9654D"/>
    <w:rPr>
      <w:rFonts w:ascii="Myriad Pro" w:hAnsi="Myriad Pro"/>
      <w:b/>
      <w:color w:val="F99D30"/>
    </w:rPr>
  </w:style>
  <w:style w:type="character" w:customStyle="1" w:styleId="BodyCopyChar">
    <w:name w:val="Body Copy Char"/>
    <w:basedOn w:val="DefaultParagraphFont"/>
    <w:link w:val="BodyCopy"/>
    <w:rsid w:val="00881548"/>
    <w:rPr>
      <w:rFonts w:ascii="MyriadPro-Regular" w:hAnsi="MyriadPro-Regular"/>
      <w:color w:val="000000"/>
      <w:lang w:val="en-US" w:eastAsia="en-US"/>
    </w:rPr>
  </w:style>
  <w:style w:type="character" w:customStyle="1" w:styleId="BodyCopyBulletListChar">
    <w:name w:val="Body Copy Bullet List Char"/>
    <w:basedOn w:val="BodyCopyChar"/>
    <w:link w:val="BodyCopyBulletList"/>
    <w:rsid w:val="00881548"/>
    <w:rPr>
      <w:rFonts w:ascii="MyriadPro-Regular" w:hAnsi="MyriadPro-Regular"/>
      <w:color w:val="000000"/>
      <w:lang w:val="en-US" w:eastAsia="en-US"/>
    </w:rPr>
  </w:style>
  <w:style w:type="paragraph" w:customStyle="1" w:styleId="StyleHeading128ptCustomColorRGB2099038">
    <w:name w:val="Style Heading 1 + 28 pt Custom Color(RGB(2099038))"/>
    <w:basedOn w:val="Heading1"/>
    <w:rsid w:val="00110123"/>
    <w:rPr>
      <w:bCs/>
      <w:sz w:val="56"/>
    </w:rPr>
  </w:style>
  <w:style w:type="paragraph" w:customStyle="1" w:styleId="StyleHeading213ptCustomColorRGB2099038Right">
    <w:name w:val="Style Heading 2 + 13 pt Custom Color(RGB(2099038)) Right"/>
    <w:basedOn w:val="Heading2"/>
    <w:rsid w:val="00110123"/>
    <w:pPr>
      <w:jc w:val="right"/>
    </w:pPr>
    <w:rPr>
      <w:bCs/>
      <w:sz w:val="26"/>
      <w:szCs w:val="20"/>
    </w:rPr>
  </w:style>
  <w:style w:type="paragraph" w:customStyle="1" w:styleId="StyleHeading3CustomColorRGB2099038">
    <w:name w:val="Style Heading 3 + Custom Color(RGB(2099038))"/>
    <w:basedOn w:val="Heading3"/>
    <w:rsid w:val="00110123"/>
    <w:rPr>
      <w:bCs/>
    </w:rPr>
  </w:style>
  <w:style w:type="paragraph" w:styleId="ListParagraph">
    <w:name w:val="List Paragraph"/>
    <w:basedOn w:val="Normal"/>
    <w:uiPriority w:val="34"/>
    <w:qFormat/>
    <w:rsid w:val="00841D1A"/>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54EB3"/>
    <w:rPr>
      <w:rFonts w:ascii="Arial" w:hAnsi="Arial"/>
      <w:noProof/>
      <w:sz w:val="22"/>
      <w:szCs w:val="24"/>
      <w:lang w:val="en-GB"/>
    </w:rPr>
  </w:style>
  <w:style w:type="character" w:customStyle="1" w:styleId="NoSpacingChar">
    <w:name w:val="No Spacing Char"/>
    <w:link w:val="NoSpacing"/>
    <w:uiPriority w:val="1"/>
    <w:rsid w:val="00D54EB3"/>
    <w:rPr>
      <w:rFonts w:ascii="Arial" w:hAnsi="Arial"/>
      <w:noProof/>
      <w:sz w:val="22"/>
      <w:szCs w:val="24"/>
      <w:lang w:val="en-GB" w:bidi="ar-SA"/>
    </w:rPr>
  </w:style>
  <w:style w:type="character" w:customStyle="1" w:styleId="pseditboxdisponly">
    <w:name w:val="pseditbox_disponly"/>
    <w:basedOn w:val="DefaultParagraphFont"/>
    <w:rsid w:val="008D7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169553">
      <w:bodyDiv w:val="1"/>
      <w:marLeft w:val="0"/>
      <w:marRight w:val="0"/>
      <w:marTop w:val="0"/>
      <w:marBottom w:val="0"/>
      <w:divBdr>
        <w:top w:val="none" w:sz="0" w:space="0" w:color="auto"/>
        <w:left w:val="none" w:sz="0" w:space="0" w:color="auto"/>
        <w:bottom w:val="none" w:sz="0" w:space="0" w:color="auto"/>
        <w:right w:val="none" w:sz="0" w:space="0" w:color="auto"/>
      </w:divBdr>
    </w:div>
    <w:div w:id="18056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ena.vladicic\Downloads\Comparative_Report_EN_template_Cris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LBY</TermName>
          <TermId xmlns="http://schemas.microsoft.com/office/infopath/2007/PartnerControls">aae4ffe6-e7a9-4060-9847-b64a408470ca</TermId>
        </TermInfo>
      </Terms>
    </gc6531b704974d528487414686b72f6f>
    <Project_x0020_Number xmlns="f1161f5b-24a3-4c2d-bc81-44cb9325e8ee">00067343</Project_x0020_Number>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b6db62fdefd74bd188b0c1cc54de5bcf xmlns="1ed4137b-41b2-488b-8250-6d369ec27664">
      <Terms xmlns="http://schemas.microsoft.com/office/infopath/2007/PartnerControls"/>
    </b6db62fdefd74bd188b0c1cc54de5bcf>
    <UNDPDocumentCategoryTaxHTField0 xmlns="1ed4137b-41b2-488b-8250-6d369ec27664">
      <Terms xmlns="http://schemas.microsoft.com/office/infopath/2007/PartnerControls"/>
    </UNDPDocumentCategoryTaxHTField0>
    <UNDPPublishedDate xmlns="f1161f5b-24a3-4c2d-bc81-44cb9325e8ee">2013-11-05T00:00:00+00:00</UNDPPublishedDat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f1161f5b-24a3-4c2d-bc81-44cb9325e8ee">ATLASPDC-4-24759</_dlc_DocId>
    <TaxCatchAll xmlns="1ed4137b-41b2-488b-8250-6d369ec27664">
      <Value>1110</Value>
      <Value>1479</Value>
      <Value>1</Value>
      <Value>763</Value>
    </TaxCatchAll>
    <PDC_x0020_Document_x0020_Category xmlns="f1161f5b-24a3-4c2d-bc81-44cb9325e8ee">Project</PDC_x0020_Document_x0020_Category>
    <_dlc_DocIdUrl xmlns="f1161f5b-24a3-4c2d-bc81-44cb9325e8ee">
      <Url>https://info.undp.org/docs/pdc/_layouts/DocIdRedir.aspx?ID=ATLASPDC-4-24759</Url>
      <Description>ATLASPDC-4-24759</Description>
    </_dlc_DocIdUrl>
    <UndpProjectNo xmlns="1ed4137b-41b2-488b-8250-6d369ec27664">00067343</UndpProjectNo>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Project_x0020_Manager xmlns="f1161f5b-24a3-4c2d-bc81-44cb9325e8ee" xsi:nil="true"/>
    <c4e2ab2cc9354bbf9064eeb465a566ea xmlns="1ed4137b-41b2-488b-8250-6d369ec27664">
      <Terms xmlns="http://schemas.microsoft.com/office/infopath/2007/PartnerControls"/>
    </c4e2ab2cc9354bbf9064eeb465a566ea>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D0B7-75D8-457A-9C0B-8AF768B7259D}"/>
</file>

<file path=customXml/itemProps2.xml><?xml version="1.0" encoding="utf-8"?>
<ds:datastoreItem xmlns:ds="http://schemas.openxmlformats.org/officeDocument/2006/customXml" ds:itemID="{D17B0938-446C-48CB-9FB1-5090EE7CCA55}"/>
</file>

<file path=customXml/itemProps3.xml><?xml version="1.0" encoding="utf-8"?>
<ds:datastoreItem xmlns:ds="http://schemas.openxmlformats.org/officeDocument/2006/customXml" ds:itemID="{9430A222-2566-409F-8999-961CF6349BC6}"/>
</file>

<file path=customXml/itemProps4.xml><?xml version="1.0" encoding="utf-8"?>
<ds:datastoreItem xmlns:ds="http://schemas.openxmlformats.org/officeDocument/2006/customXml" ds:itemID="{B5FC81F3-53D0-46F0-B16F-FC2083C644F8}"/>
</file>

<file path=customXml/itemProps5.xml><?xml version="1.0" encoding="utf-8"?>
<ds:datastoreItem xmlns:ds="http://schemas.openxmlformats.org/officeDocument/2006/customXml" ds:itemID="{DA7483B7-61BD-4E53-9016-75497CAE8816}"/>
</file>

<file path=customXml/itemProps6.xml><?xml version="1.0" encoding="utf-8"?>
<ds:datastoreItem xmlns:ds="http://schemas.openxmlformats.org/officeDocument/2006/customXml" ds:itemID="{6748665C-6754-4E2F-8FC3-7B6C28504A56}"/>
</file>

<file path=customXml/itemProps7.xml><?xml version="1.0" encoding="utf-8"?>
<ds:datastoreItem xmlns:ds="http://schemas.openxmlformats.org/officeDocument/2006/customXml" ds:itemID="{EFF8DAA1-9957-43E8-BAAB-243ED5A6A19F}"/>
</file>

<file path=docProps/app.xml><?xml version="1.0" encoding="utf-8"?>
<Properties xmlns="http://schemas.openxmlformats.org/officeDocument/2006/extended-properties" xmlns:vt="http://schemas.openxmlformats.org/officeDocument/2006/docPropsVTypes">
  <Template>Comparative_Report_EN_template_Crisis.dotx</Template>
  <TotalTime>216</TotalTime>
  <Pages>1</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Project report template</vt:lpstr>
    </vt:vector>
  </TitlesOfParts>
  <Company>The Borg</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template</dc:title>
  <dc:subject/>
  <dc:creator>Jelena Vladicic</dc:creator>
  <cp:keywords/>
  <cp:lastModifiedBy>Norul Rashid</cp:lastModifiedBy>
  <cp:revision>85</cp:revision>
  <cp:lastPrinted>2011-12-09T15:32:00Z</cp:lastPrinted>
  <dcterms:created xsi:type="dcterms:W3CDTF">2015-01-05T13:27:00Z</dcterms:created>
  <dcterms:modified xsi:type="dcterms:W3CDTF">2015-01-05T13:27:00Z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 LanguagesTaxHTField0">
    <vt:lpwstr>English|7f98b732-4b5b-4b70-ba90-a0eff09b5d2d</vt:lpwstr>
  </property>
  <property fmtid="{D5CDD505-2E9C-101B-9397-08002B2CF9AE}" pid="3" name="o4086b1782a74105bb5269035bccc8e9">
    <vt:lpwstr>Draft|148f9654-2d0b-4582-a532-49dea0090e5d</vt:lpwstr>
  </property>
  <property fmtid="{D5CDD505-2E9C-101B-9397-08002B2CF9AE}" pid="4" name="idff2b682fce4d0680503cd9036a3260">
    <vt:lpwstr>Prodoc|5f41516e-5ee3-43b6-82ea-9b89532838d0</vt:lpwstr>
  </property>
  <property fmtid="{D5CDD505-2E9C-101B-9397-08002B2CF9AE}" pid="5" name="TaxCatchAll">
    <vt:lpwstr>228;#Prodoc|5f41516e-5ee3-43b6-82ea-9b89532838d0;#158;#LBY|3ab9cc20-9bc7-4dbb-8009-810779a79795;#3;#Draft|148f9654-2d0b-4582-a532-49dea0090e5d;#1;#English|7f98b732-4b5b-4b70-ba90-a0eff09b5d2d</vt:lpwstr>
  </property>
  <property fmtid="{D5CDD505-2E9C-101B-9397-08002B2CF9AE}" pid="6" name="UN Languages">
    <vt:lpwstr>1;#English|7f98b732-4b5b-4b70-ba90-a0eff09b5d2d</vt:lpwstr>
  </property>
  <property fmtid="{D5CDD505-2E9C-101B-9397-08002B2CF9AE}" pid="7" name="Atlas Document Type">
    <vt:lpwstr>1110;#Prodoc|099f975e-b4d9-4bba-a499-dbcc387c61ad</vt:lpwstr>
  </property>
  <property fmtid="{D5CDD505-2E9C-101B-9397-08002B2CF9AE}" pid="8" name="UNDPFocusAreasTaxHTField0">
    <vt:lpwstr/>
  </property>
  <property fmtid="{D5CDD505-2E9C-101B-9397-08002B2CF9AE}" pid="9" name="gc6531b704974d528487414686b72f6f">
    <vt:lpwstr>LBY|3ab9cc20-9bc7-4dbb-8009-810779a79795</vt:lpwstr>
  </property>
  <property fmtid="{D5CDD505-2E9C-101B-9397-08002B2CF9AE}" pid="10" name="Operating Unit0">
    <vt:lpwstr>1479;#LBY|aae4ffe6-e7a9-4060-9847-b64a408470ca</vt:lpwstr>
  </property>
  <property fmtid="{D5CDD505-2E9C-101B-9397-08002B2CF9AE}" pid="11" name="UndpUnitMM">
    <vt:lpwstr/>
  </property>
  <property fmtid="{D5CDD505-2E9C-101B-9397-08002B2CF9AE}" pid="12" name="Unit">
    <vt:lpwstr/>
  </property>
  <property fmtid="{D5CDD505-2E9C-101B-9397-08002B2CF9AE}" pid="13" name="UnitTaxHTField0">
    <vt:lpwstr/>
  </property>
  <property fmtid="{D5CDD505-2E9C-101B-9397-08002B2CF9AE}" pid="14" name="b6db62fdefd74bd188b0c1cc54de5bcf">
    <vt:lpwstr/>
  </property>
  <property fmtid="{D5CDD505-2E9C-101B-9397-08002B2CF9AE}" pid="15" name="UNDPDocumentCategoryTaxHTField0">
    <vt:lpwstr/>
  </property>
  <property fmtid="{D5CDD505-2E9C-101B-9397-08002B2CF9AE}" pid="16" name="UNDPFocusAreas">
    <vt:lpwstr/>
  </property>
  <property fmtid="{D5CDD505-2E9C-101B-9397-08002B2CF9AE}" pid="17" name="Atlas Document Status">
    <vt:lpwstr>763;#Draft|121d40a5-e62e-4d42-82e4-d6d12003de0a</vt:lpwstr>
  </property>
  <property fmtid="{D5CDD505-2E9C-101B-9397-08002B2CF9AE}" pid="18" name="PDC Document Category">
    <vt:lpwstr>Project</vt:lpwstr>
  </property>
  <property fmtid="{D5CDD505-2E9C-101B-9397-08002B2CF9AE}" pid="19" name="_dlc_DocId">
    <vt:lpwstr>ATLASPDC-4-11580</vt:lpwstr>
  </property>
  <property fmtid="{D5CDD505-2E9C-101B-9397-08002B2CF9AE}" pid="20" name="_dlc_DocIdItemGuid">
    <vt:lpwstr>3d0ea1e1-cb97-4f27-83ab-fc7288afefda</vt:lpwstr>
  </property>
  <property fmtid="{D5CDD505-2E9C-101B-9397-08002B2CF9AE}" pid="21" name="_dlc_DocIdUrl">
    <vt:lpwstr>https://intranet.undp.org/docs/pdc/_layouts/DocIdRedir.aspx?ID=ATLASPDC-4-11580, ATLASPDC-4-11580</vt:lpwstr>
  </property>
  <property fmtid="{D5CDD505-2E9C-101B-9397-08002B2CF9AE}" pid="22" name="UNDPPublishedDate">
    <vt:lpwstr>2013-11-05T00:00:00Z</vt:lpwstr>
  </property>
  <property fmtid="{D5CDD505-2E9C-101B-9397-08002B2CF9AE}" pid="23" name="Project Number">
    <vt:lpwstr>00067343</vt:lpwstr>
  </property>
  <property fmtid="{D5CDD505-2E9C-101B-9397-08002B2CF9AE}" pid="24" name="UNDPDocumentCategory">
    <vt:lpwstr/>
  </property>
  <property fmtid="{D5CDD505-2E9C-101B-9397-08002B2CF9AE}" pid="25" name="UndpProjectNo">
    <vt:lpwstr>00067343</vt:lpwstr>
  </property>
  <property fmtid="{D5CDD505-2E9C-101B-9397-08002B2CF9AE}" pid="26" name="ContentTypeId">
    <vt:lpwstr>0x010100F075C04BA242A84ABD3293E3AD35CDA400AB50428DC784B44FAACCAA5FAE40C0590045B5E632B552204ABF0E616DD66BDA0F</vt:lpwstr>
  </property>
  <property fmtid="{D5CDD505-2E9C-101B-9397-08002B2CF9AE}" pid="27" name="UNDPCountry">
    <vt:lpwstr/>
  </property>
  <property fmtid="{D5CDD505-2E9C-101B-9397-08002B2CF9AE}" pid="28" name="UndpDocTypeMM">
    <vt:lpwstr/>
  </property>
  <property fmtid="{D5CDD505-2E9C-101B-9397-08002B2CF9AE}" pid="29" name="eRegFilingCodeMM">
    <vt:lpwstr/>
  </property>
  <property fmtid="{D5CDD505-2E9C-101B-9397-08002B2CF9AE}" pid="30" name="URL">
    <vt:lpwstr/>
  </property>
  <property fmtid="{D5CDD505-2E9C-101B-9397-08002B2CF9AE}" pid="31" name="DocumentSetDescription">
    <vt:lpwstr/>
  </property>
</Properties>
</file>